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CDF63">
      <w:pPr>
        <w:wordWrap/>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3.苗木采购合同范本（最终以签订版为准）</w:t>
      </w:r>
    </w:p>
    <w:p w14:paraId="2C4909B7">
      <w:pPr>
        <w:wordWrap w:val="0"/>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 xml:space="preserve"> 合同编号：</w:t>
      </w:r>
      <w:r>
        <w:rPr>
          <w:rFonts w:hint="eastAsia" w:ascii="仿宋" w:hAnsi="仿宋" w:eastAsia="仿宋" w:cs="仿宋"/>
          <w:b/>
          <w:bCs/>
          <w:sz w:val="28"/>
          <w:szCs w:val="28"/>
          <w:highlight w:val="none"/>
          <w:u w:val="none"/>
          <w:lang w:val="en-US" w:eastAsia="zh-CN"/>
        </w:rPr>
        <w:t xml:space="preserve">   </w:t>
      </w:r>
    </w:p>
    <w:p w14:paraId="7ED63478">
      <w:pPr>
        <w:rPr>
          <w:rFonts w:hint="eastAsia" w:ascii="仿宋" w:hAnsi="仿宋" w:eastAsia="仿宋" w:cs="仿宋"/>
          <w:sz w:val="28"/>
          <w:szCs w:val="28"/>
          <w:highlight w:val="none"/>
        </w:rPr>
      </w:pPr>
    </w:p>
    <w:p w14:paraId="05B29837">
      <w:pPr>
        <w:pStyle w:val="2"/>
        <w:rPr>
          <w:rFonts w:hint="eastAsia" w:ascii="仿宋" w:hAnsi="仿宋" w:eastAsia="仿宋" w:cs="仿宋"/>
          <w:highlight w:val="none"/>
        </w:rPr>
      </w:pPr>
    </w:p>
    <w:p w14:paraId="1CCE6E91">
      <w:pPr>
        <w:pStyle w:val="2"/>
        <w:rPr>
          <w:rFonts w:hint="eastAsia" w:ascii="仿宋" w:hAnsi="仿宋" w:eastAsia="仿宋" w:cs="仿宋"/>
          <w:highlight w:val="none"/>
        </w:rPr>
      </w:pPr>
    </w:p>
    <w:p w14:paraId="3AF6DF50">
      <w:pPr>
        <w:pStyle w:val="2"/>
        <w:rPr>
          <w:rFonts w:hint="eastAsia" w:ascii="仿宋" w:hAnsi="仿宋" w:eastAsia="仿宋" w:cs="仿宋"/>
          <w:highlight w:val="none"/>
        </w:rPr>
      </w:pPr>
    </w:p>
    <w:p w14:paraId="2F6DEA4A">
      <w:pPr>
        <w:jc w:val="center"/>
        <w:rPr>
          <w:rFonts w:hint="eastAsia" w:ascii="仿宋" w:hAnsi="仿宋" w:eastAsia="仿宋" w:cs="仿宋"/>
          <w:b/>
          <w:bCs/>
          <w:sz w:val="52"/>
          <w:szCs w:val="52"/>
          <w:highlight w:val="none"/>
          <w:u w:val="none"/>
          <w:lang w:eastAsia="zh-CN"/>
        </w:rPr>
      </w:pPr>
      <w:bookmarkStart w:id="0" w:name="_GoBack"/>
      <w:bookmarkEnd w:id="0"/>
      <w:r>
        <w:rPr>
          <w:rFonts w:hint="eastAsia" w:ascii="仿宋" w:hAnsi="仿宋" w:eastAsia="仿宋" w:cs="仿宋"/>
          <w:b/>
          <w:bCs/>
          <w:sz w:val="52"/>
          <w:szCs w:val="52"/>
          <w:highlight w:val="none"/>
          <w:u w:val="single"/>
          <w:lang w:val="en-US" w:eastAsia="zh-CN"/>
        </w:rPr>
        <w:t xml:space="preserve">            </w:t>
      </w:r>
      <w:r>
        <w:rPr>
          <w:rFonts w:hint="eastAsia" w:ascii="仿宋" w:hAnsi="仿宋" w:eastAsia="仿宋" w:cs="仿宋"/>
          <w:b/>
          <w:bCs/>
          <w:sz w:val="52"/>
          <w:szCs w:val="52"/>
          <w:highlight w:val="none"/>
          <w:u w:val="none"/>
          <w:lang w:eastAsia="zh-CN"/>
        </w:rPr>
        <w:t>工程</w:t>
      </w:r>
    </w:p>
    <w:p w14:paraId="3F80B590">
      <w:pPr>
        <w:jc w:val="center"/>
        <w:rPr>
          <w:rFonts w:hint="eastAsia" w:ascii="仿宋" w:hAnsi="仿宋" w:eastAsia="仿宋" w:cs="仿宋"/>
          <w:b/>
          <w:bCs/>
          <w:spacing w:val="0"/>
          <w:sz w:val="52"/>
          <w:szCs w:val="52"/>
          <w:highlight w:val="none"/>
          <w:lang w:val="en-US" w:eastAsia="zh-CN"/>
        </w:rPr>
      </w:pPr>
      <w:r>
        <w:rPr>
          <w:rFonts w:hint="eastAsia" w:ascii="仿宋" w:hAnsi="仿宋" w:eastAsia="仿宋" w:cs="仿宋"/>
          <w:b/>
          <w:bCs/>
          <w:spacing w:val="0"/>
          <w:sz w:val="52"/>
          <w:szCs w:val="52"/>
          <w:highlight w:val="none"/>
          <w:lang w:eastAsia="zh-CN"/>
        </w:rPr>
        <w:t>苗木采购合同</w:t>
      </w:r>
    </w:p>
    <w:p w14:paraId="141A6ABC">
      <w:pPr>
        <w:jc w:val="center"/>
        <w:rPr>
          <w:rFonts w:hint="eastAsia" w:ascii="仿宋" w:hAnsi="仿宋" w:eastAsia="仿宋" w:cs="仿宋"/>
          <w:b/>
          <w:bCs/>
          <w:spacing w:val="0"/>
          <w:sz w:val="32"/>
          <w:szCs w:val="32"/>
          <w:highlight w:val="none"/>
        </w:rPr>
      </w:pPr>
      <w:r>
        <w:rPr>
          <w:rFonts w:hint="eastAsia" w:ascii="仿宋" w:hAnsi="仿宋" w:eastAsia="仿宋" w:cs="仿宋"/>
          <w:b/>
          <w:bCs/>
          <w:spacing w:val="0"/>
          <w:sz w:val="52"/>
          <w:szCs w:val="52"/>
          <w:highlight w:val="none"/>
        </w:rPr>
        <w:t>---------------</w:t>
      </w:r>
    </w:p>
    <w:p w14:paraId="5663CAC7">
      <w:pPr>
        <w:pStyle w:val="2"/>
        <w:rPr>
          <w:rFonts w:hint="eastAsia" w:ascii="仿宋" w:hAnsi="仿宋" w:eastAsia="仿宋" w:cs="仿宋"/>
          <w:sz w:val="36"/>
          <w:szCs w:val="36"/>
          <w:highlight w:val="none"/>
        </w:rPr>
      </w:pPr>
    </w:p>
    <w:p w14:paraId="6CD24F06">
      <w:pPr>
        <w:rPr>
          <w:rFonts w:hint="eastAsia" w:ascii="仿宋" w:hAnsi="仿宋" w:eastAsia="仿宋" w:cs="仿宋"/>
          <w:sz w:val="36"/>
          <w:szCs w:val="36"/>
          <w:highlight w:val="none"/>
        </w:rPr>
      </w:pPr>
    </w:p>
    <w:p w14:paraId="62681B6C">
      <w:pPr>
        <w:rPr>
          <w:rFonts w:hint="eastAsia" w:ascii="仿宋" w:hAnsi="仿宋" w:eastAsia="仿宋" w:cs="仿宋"/>
          <w:sz w:val="36"/>
          <w:szCs w:val="36"/>
          <w:highlight w:val="none"/>
        </w:rPr>
      </w:pPr>
    </w:p>
    <w:p w14:paraId="075F3CE1">
      <w:pPr>
        <w:rPr>
          <w:rFonts w:hint="eastAsia" w:ascii="仿宋" w:hAnsi="仿宋" w:eastAsia="仿宋" w:cs="仿宋"/>
          <w:b/>
          <w:bCs/>
          <w:sz w:val="40"/>
          <w:szCs w:val="40"/>
          <w:highlight w:val="none"/>
        </w:rPr>
      </w:pPr>
    </w:p>
    <w:p w14:paraId="0FE8E4A0">
      <w:pPr>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甲方：泸州兴绿园林绿化有限责任公司</w:t>
      </w:r>
    </w:p>
    <w:p w14:paraId="65E7EA89">
      <w:pPr>
        <w:jc w:val="center"/>
        <w:rPr>
          <w:rFonts w:hint="eastAsia" w:ascii="仿宋" w:hAnsi="仿宋" w:eastAsia="仿宋" w:cs="仿宋"/>
          <w:b/>
          <w:bCs/>
          <w:sz w:val="36"/>
          <w:szCs w:val="36"/>
          <w:highlight w:val="none"/>
        </w:rPr>
      </w:pPr>
    </w:p>
    <w:p w14:paraId="029E46BA">
      <w:pPr>
        <w:ind w:firstLine="1807" w:firstLineChars="500"/>
        <w:jc w:val="left"/>
        <w:rPr>
          <w:rFonts w:hint="eastAsia" w:ascii="仿宋" w:hAnsi="仿宋" w:eastAsia="仿宋" w:cs="仿宋"/>
          <w:b/>
          <w:bCs/>
          <w:sz w:val="36"/>
          <w:szCs w:val="36"/>
          <w:highlight w:val="none"/>
          <w:u w:val="single"/>
          <w:lang w:val="en-US" w:eastAsia="zh-CN"/>
        </w:rPr>
      </w:pPr>
      <w:r>
        <w:rPr>
          <w:rFonts w:hint="eastAsia" w:ascii="仿宋" w:hAnsi="仿宋" w:eastAsia="仿宋" w:cs="仿宋"/>
          <w:b/>
          <w:bCs/>
          <w:sz w:val="36"/>
          <w:szCs w:val="36"/>
          <w:highlight w:val="none"/>
        </w:rPr>
        <w:t>乙方：</w:t>
      </w:r>
    </w:p>
    <w:p w14:paraId="34D4B1EE">
      <w:pPr>
        <w:pStyle w:val="2"/>
        <w:rPr>
          <w:rFonts w:hint="eastAsia" w:ascii="仿宋" w:hAnsi="仿宋" w:eastAsia="仿宋" w:cs="仿宋"/>
          <w:highlight w:val="none"/>
        </w:rPr>
      </w:pPr>
    </w:p>
    <w:p w14:paraId="03BD665E">
      <w:pPr>
        <w:rPr>
          <w:rFonts w:hint="eastAsia" w:ascii="仿宋" w:hAnsi="仿宋" w:eastAsia="仿宋" w:cs="仿宋"/>
          <w:highlight w:val="none"/>
        </w:rPr>
      </w:pPr>
    </w:p>
    <w:p w14:paraId="570BD0EC">
      <w:pPr>
        <w:rPr>
          <w:rFonts w:hint="eastAsia" w:ascii="仿宋" w:hAnsi="仿宋" w:eastAsia="仿宋" w:cs="仿宋"/>
          <w:highlight w:val="none"/>
        </w:rPr>
      </w:pPr>
    </w:p>
    <w:p w14:paraId="41EF10E5">
      <w:pPr>
        <w:pStyle w:val="2"/>
        <w:rPr>
          <w:rFonts w:hint="eastAsia" w:ascii="仿宋" w:hAnsi="仿宋" w:eastAsia="仿宋" w:cs="仿宋"/>
          <w:highlight w:val="none"/>
        </w:rPr>
      </w:pPr>
    </w:p>
    <w:p w14:paraId="674CDD01">
      <w:pPr>
        <w:pStyle w:val="2"/>
        <w:rPr>
          <w:rFonts w:hint="eastAsia" w:ascii="仿宋" w:hAnsi="仿宋" w:eastAsia="仿宋" w:cs="仿宋"/>
          <w:highlight w:val="none"/>
        </w:rPr>
      </w:pPr>
    </w:p>
    <w:p w14:paraId="23471BC8">
      <w:pPr>
        <w:jc w:val="center"/>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lang w:eastAsia="zh-CN"/>
        </w:rPr>
        <w:t>年</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sz w:val="32"/>
          <w:szCs w:val="32"/>
          <w:highlight w:val="none"/>
          <w:lang w:eastAsia="zh-CN"/>
        </w:rPr>
        <w:t>月</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sz w:val="32"/>
          <w:szCs w:val="32"/>
          <w:highlight w:val="none"/>
          <w:lang w:eastAsia="zh-CN"/>
        </w:rPr>
        <w:t>日</w:t>
      </w:r>
    </w:p>
    <w:p w14:paraId="03A6D61D">
      <w:pPr>
        <w:spacing w:line="500" w:lineRule="exact"/>
        <w:jc w:val="center"/>
        <w:rPr>
          <w:rFonts w:hint="eastAsia" w:ascii="仿宋" w:hAnsi="仿宋" w:eastAsia="仿宋" w:cs="仿宋"/>
          <w:sz w:val="32"/>
          <w:szCs w:val="32"/>
          <w:highlight w:val="none"/>
          <w:lang w:eastAsia="zh-CN"/>
        </w:rPr>
        <w:sectPr>
          <w:footerReference r:id="rId3" w:type="default"/>
          <w:pgSz w:w="11906" w:h="16838"/>
          <w:pgMar w:top="1440" w:right="1080" w:bottom="1440" w:left="1080" w:header="851" w:footer="992" w:gutter="0"/>
          <w:cols w:space="720" w:num="1"/>
          <w:docGrid w:type="lines" w:linePitch="312" w:charSpace="0"/>
        </w:sectPr>
      </w:pPr>
      <w:r>
        <w:rPr>
          <w:rFonts w:hint="eastAsia" w:ascii="仿宋" w:hAnsi="仿宋" w:eastAsia="仿宋" w:cs="仿宋"/>
          <w:sz w:val="32"/>
          <w:szCs w:val="32"/>
          <w:highlight w:val="none"/>
          <w:lang w:eastAsia="zh-CN"/>
        </w:rPr>
        <w:t>泸州兴绿园林绿化有限责任公司</w:t>
      </w:r>
    </w:p>
    <w:p w14:paraId="49F58AA3">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一、合同目的</w:t>
      </w:r>
    </w:p>
    <w:p w14:paraId="4AD4780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u w:val="none"/>
        </w:rPr>
      </w:pPr>
      <w:r>
        <w:rPr>
          <w:rFonts w:hint="eastAsia" w:ascii="仿宋" w:hAnsi="仿宋" w:eastAsia="仿宋" w:cs="仿宋"/>
          <w:sz w:val="28"/>
          <w:szCs w:val="28"/>
          <w:highlight w:val="none"/>
        </w:rPr>
        <w:t>甲方因</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lang w:eastAsia="zh-CN"/>
        </w:rPr>
        <w:t>工程</w:t>
      </w:r>
      <w:r>
        <w:rPr>
          <w:rFonts w:hint="eastAsia" w:ascii="仿宋" w:hAnsi="仿宋" w:eastAsia="仿宋" w:cs="仿宋"/>
          <w:sz w:val="28"/>
          <w:szCs w:val="28"/>
          <w:highlight w:val="none"/>
          <w:u w:val="none"/>
        </w:rPr>
        <w:t>建设需要，拟向乙方购买苗木一批（详见附件一），根据《中华人民共和国民法典》等相关规定，双方本着平等互利、协商一致的原则，签订本合同，以资双方信守执行。</w:t>
      </w:r>
    </w:p>
    <w:p w14:paraId="75D059CB">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u w:val="none"/>
        </w:rPr>
      </w:pPr>
      <w:r>
        <w:rPr>
          <w:rFonts w:hint="eastAsia" w:ascii="仿宋" w:hAnsi="仿宋" w:eastAsia="仿宋" w:cs="仿宋"/>
          <w:b/>
          <w:bCs/>
          <w:sz w:val="28"/>
          <w:szCs w:val="28"/>
          <w:highlight w:val="none"/>
          <w:u w:val="none"/>
        </w:rPr>
        <w:t>二、合同标的物的名称、数量、型号、含税单价</w:t>
      </w:r>
    </w:p>
    <w:p w14:paraId="0280397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u w:val="none"/>
        </w:rPr>
        <w:t>详见</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附件一：</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lang w:eastAsia="zh-CN"/>
        </w:rPr>
        <w:t>工程</w:t>
      </w:r>
      <w:r>
        <w:rPr>
          <w:rFonts w:hint="eastAsia" w:ascii="仿宋" w:hAnsi="仿宋" w:eastAsia="仿宋" w:cs="仿宋"/>
          <w:sz w:val="28"/>
          <w:szCs w:val="28"/>
          <w:highlight w:val="none"/>
        </w:rPr>
        <w:t>苗木采购价格确认表</w:t>
      </w:r>
      <w:r>
        <w:rPr>
          <w:rFonts w:hint="eastAsia" w:ascii="仿宋" w:hAnsi="仿宋" w:eastAsia="仿宋" w:cs="仿宋"/>
          <w:sz w:val="28"/>
          <w:szCs w:val="28"/>
          <w:highlight w:val="none"/>
          <w:u w:val="none"/>
          <w:lang w:eastAsia="zh-CN"/>
        </w:rPr>
        <w:t>”</w:t>
      </w:r>
    </w:p>
    <w:p w14:paraId="67E1F9F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w:t>
      </w:r>
      <w:r>
        <w:rPr>
          <w:rFonts w:hint="eastAsia" w:ascii="仿宋" w:hAnsi="仿宋" w:eastAsia="仿宋" w:cs="仿宋"/>
          <w:b/>
          <w:bCs/>
          <w:sz w:val="28"/>
          <w:szCs w:val="28"/>
          <w:highlight w:val="none"/>
        </w:rPr>
        <w:t>标的物（产品）质量要求</w:t>
      </w:r>
    </w:p>
    <w:p w14:paraId="5942E5E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产品应当检验合格，不存在危及人身、财产安全的不合理的危险，有保障人体健康和人身、财产安全的国家标准、行业标准的，应当符合该标准（没有国家标准、行业标准的，按照通常标准或者符合合同目的的特定标准确定）；</w:t>
      </w:r>
    </w:p>
    <w:p w14:paraId="0774AC3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（二）具备产品应当具备的使用性能，符合在产品或者其包装上注明采用的产品标准，符合以产品说明、实物样品等方式表明的质量状况；</w:t>
      </w:r>
    </w:p>
    <w:p w14:paraId="5803930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有产品质量检验合格证明，有中文标明的产品名称、生产厂厂名和厂址；根据产品的特点和使用要求，需要标明产品规格、等级、所含主要成份的名称和含量的，用中文相应予以标明；需要事先甲方知晓的，应当在外包装上标明并口头说明，或者预先向甲方提供有关资料；</w:t>
      </w:r>
    </w:p>
    <w:p w14:paraId="35E618C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（四）限期使用的产品，应当在显著位置清晰地标明生产日期和安全使用期或者失效日期；</w:t>
      </w:r>
    </w:p>
    <w:p w14:paraId="40D586F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（五）使用不当，容易造成产品本身损坏或者可能危及人身、财产安全的产品，应当有警示标志或者中文警示说明；</w:t>
      </w:r>
    </w:p>
    <w:p w14:paraId="73C8F6B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（六）产品，不得掺杂、掺假，不得以假充真、以次充好，不得以不合格产品冒充合格产品；</w:t>
      </w:r>
    </w:p>
    <w:p w14:paraId="28C10D7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（七）苗木质量标准：</w:t>
      </w:r>
      <w:r>
        <w:rPr>
          <w:rFonts w:hint="eastAsia" w:ascii="仿宋" w:hAnsi="仿宋" w:eastAsia="仿宋" w:cs="仿宋"/>
          <w:sz w:val="28"/>
          <w:szCs w:val="28"/>
          <w:highlight w:val="none"/>
        </w:rPr>
        <w:tab/>
      </w:r>
    </w:p>
    <w:p w14:paraId="733DE15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1.装、运、卸苗木时均要保证树木根系、土球完好，苗木运输不得截枝，保留树冠，不得折断树木主尖、枝条，严禁出现无枝的单干苗木，不得擦伤树皮。</w:t>
      </w:r>
    </w:p>
    <w:p w14:paraId="68A23783">
      <w:pPr>
        <w:pStyle w:val="2"/>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highlight w:val="none"/>
        </w:rPr>
      </w:pPr>
      <w:r>
        <w:rPr>
          <w:rFonts w:hint="eastAsia" w:ascii="仿宋" w:hAnsi="仿宋" w:eastAsia="仿宋" w:cs="仿宋"/>
          <w:sz w:val="28"/>
          <w:szCs w:val="28"/>
          <w:highlight w:val="none"/>
        </w:rPr>
        <w:t xml:space="preserve">    2.严格要求苗木规格供货，要求苗圃熟货、枝干健壮，形体优美，树势健壮，要求在育苗期内经过1-3次翻耕，根群集中在树蔸的苗木；</w:t>
      </w:r>
    </w:p>
    <w:p w14:paraId="67010CE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3.植株健壮,苗干通直圆满，规格要求一致，枝条茁壮，组织充实，木质化程度高，且应满足设计规定要求。乔木分枝点应不少于“附件一”中规定，树形特殊的树种，分枝必须有4层以上。</w:t>
      </w:r>
    </w:p>
    <w:p w14:paraId="64C66EF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4.苗木无机械损伤，无病虫害，不失水，有旺盛的生命力。 </w:t>
      </w:r>
    </w:p>
    <w:p w14:paraId="4AF43B6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5.苗木必须为圃地三年内翻种熟货栽植苗。如发现是窖藏或假值苗木一律不予验收。</w:t>
      </w:r>
    </w:p>
    <w:p w14:paraId="7989E4D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6.所有外入苗木均需提供检验检疫证明，否则不予结算货款。</w:t>
      </w:r>
    </w:p>
    <w:p w14:paraId="6F65504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7.苗木土球大小和厚度要求  </w:t>
      </w:r>
    </w:p>
    <w:p w14:paraId="35BBBB9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（1）土球大小：乔木米径10-12cm的按米径8-10倍，米径12-18cm的按米径7-9倍，米径19-25cm的按米径6-8倍，米径25cm以上的根据实际情况确定。 </w:t>
      </w:r>
    </w:p>
    <w:p w14:paraId="53CCCEE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（2）土球厚度：土球厚度为宽度的2/3，灌木按冠幅的1/4——1/3，小苗随根系带附心土，质量等按相关规定执行，甲方在验货时发现单株苗木1/3以上土球松散可以拒收。 </w:t>
      </w:r>
    </w:p>
    <w:p w14:paraId="4476DC4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（3）竹类的土球及根幅：竹类的土球厚度一般要求20—25厘米，根幅以不小于30—40厘米为宜。 </w:t>
      </w:r>
    </w:p>
    <w:p w14:paraId="0A396AE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8.苗木包装与运输要求    </w:t>
      </w:r>
    </w:p>
    <w:p w14:paraId="482EE1F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（1）苗木运输途中，必须采取保湿、降温和通风措施，严防日晒。</w:t>
      </w:r>
    </w:p>
    <w:p w14:paraId="3795691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（2）根据苗木规格确定运输量，苗木装卸时应轻拿轻放，不得损伤苗木或造成散球。</w:t>
      </w:r>
    </w:p>
    <w:p w14:paraId="25AC7B5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（3）因苗木在运输过程中造成的苗木脱水掉叶、创伤、土球的散落等而造成的死亡，一律由乙方负责。</w:t>
      </w:r>
    </w:p>
    <w:p w14:paraId="53D7E98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（4）必须确保苗木主要枝干不受损伤、土球不散落，冠幅保持自然饱满，否则甲方拒收。</w:t>
      </w:r>
    </w:p>
    <w:p w14:paraId="2227AC3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9.满足规格要求，以甲方现场选定标准，主要苗木收货标准详见附件图片。</w:t>
      </w:r>
    </w:p>
    <w:p w14:paraId="47CF7E6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（八）</w:t>
      </w:r>
      <w:r>
        <w:rPr>
          <w:rFonts w:hint="eastAsia" w:ascii="仿宋" w:hAnsi="仿宋" w:eastAsia="仿宋" w:cs="仿宋"/>
          <w:color w:val="000000" w:themeColor="text1"/>
          <w:sz w:val="28"/>
          <w:szCs w:val="28"/>
          <w:highlight w:val="none"/>
          <w14:textFill>
            <w14:solidFill>
              <w14:schemeClr w14:val="tx1"/>
            </w14:solidFill>
          </w14:textFill>
        </w:rPr>
        <w:t xml:space="preserve">乙方交付的货物不符合甲方规格要求并且与乙方报价所提供的照片效果形态不一致的，甲方有权扣除乙方履约保证金，拒绝收货或者解除合同，合同标的视为未交付，相应的法律后果由乙方承担。   </w:t>
      </w:r>
      <w:r>
        <w:rPr>
          <w:rFonts w:hint="eastAsia" w:ascii="仿宋" w:hAnsi="仿宋" w:eastAsia="仿宋" w:cs="仿宋"/>
          <w:sz w:val="28"/>
          <w:szCs w:val="28"/>
          <w:highlight w:val="none"/>
        </w:rPr>
        <w:t xml:space="preserve">    </w:t>
      </w:r>
    </w:p>
    <w:p w14:paraId="393F291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b/>
          <w:bCs/>
          <w:sz w:val="28"/>
          <w:szCs w:val="28"/>
          <w:highlight w:val="none"/>
        </w:rPr>
        <w:t>四、质量异议</w:t>
      </w:r>
      <w:r>
        <w:rPr>
          <w:rFonts w:hint="eastAsia" w:ascii="仿宋" w:hAnsi="仿宋" w:eastAsia="仿宋" w:cs="仿宋"/>
          <w:sz w:val="28"/>
          <w:szCs w:val="28"/>
          <w:highlight w:val="none"/>
        </w:rPr>
        <w:t xml:space="preserve">         </w:t>
      </w:r>
    </w:p>
    <w:p w14:paraId="17BFB5C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甲方对标的物质量有异议的，应当在收到标的物后</w:t>
      </w:r>
      <w:r>
        <w:rPr>
          <w:rFonts w:hint="eastAsia" w:ascii="仿宋" w:hAnsi="仿宋" w:eastAsia="仿宋" w:cs="仿宋"/>
          <w:sz w:val="28"/>
          <w:szCs w:val="28"/>
          <w:highlight w:val="none"/>
          <w:u w:val="single"/>
        </w:rPr>
        <w:t>十五</w:t>
      </w:r>
      <w:r>
        <w:rPr>
          <w:rFonts w:hint="eastAsia" w:ascii="仿宋" w:hAnsi="仿宋" w:eastAsia="仿宋" w:cs="仿宋"/>
          <w:sz w:val="28"/>
          <w:szCs w:val="28"/>
          <w:highlight w:val="none"/>
        </w:rPr>
        <w:t>日内提出异议，乙方应当在</w:t>
      </w:r>
      <w:r>
        <w:rPr>
          <w:rFonts w:hint="eastAsia" w:ascii="仿宋" w:hAnsi="仿宋" w:eastAsia="仿宋" w:cs="仿宋"/>
          <w:sz w:val="28"/>
          <w:szCs w:val="28"/>
          <w:highlight w:val="none"/>
          <w:u w:val="single"/>
        </w:rPr>
        <w:t>七</w:t>
      </w:r>
      <w:r>
        <w:rPr>
          <w:rFonts w:hint="eastAsia" w:ascii="仿宋" w:hAnsi="仿宋" w:eastAsia="仿宋" w:cs="仿宋"/>
          <w:sz w:val="28"/>
          <w:szCs w:val="28"/>
          <w:highlight w:val="none"/>
        </w:rPr>
        <w:t>日内处理完毕，否则甲方有权解除合同，由此造成的损失由乙方承担。</w:t>
      </w:r>
      <w:r>
        <w:rPr>
          <w:rFonts w:hint="eastAsia" w:ascii="仿宋" w:hAnsi="仿宋" w:eastAsia="仿宋" w:cs="仿宋"/>
          <w:color w:val="auto"/>
          <w:sz w:val="28"/>
          <w:szCs w:val="28"/>
          <w:highlight w:val="none"/>
        </w:rPr>
        <w:t>本合同关于质量异议期间的约定，不能免除乙方的质量保证责任</w:t>
      </w:r>
      <w:r>
        <w:rPr>
          <w:rFonts w:hint="eastAsia" w:ascii="仿宋" w:hAnsi="仿宋" w:eastAsia="仿宋" w:cs="仿宋"/>
          <w:b/>
          <w:bCs/>
          <w:color w:val="auto"/>
          <w:sz w:val="28"/>
          <w:szCs w:val="28"/>
          <w:highlight w:val="none"/>
        </w:rPr>
        <w:t>。</w:t>
      </w:r>
      <w:r>
        <w:rPr>
          <w:rFonts w:hint="eastAsia" w:ascii="仿宋" w:hAnsi="仿宋" w:eastAsia="仿宋" w:cs="仿宋"/>
          <w:color w:val="auto"/>
          <w:sz w:val="28"/>
          <w:szCs w:val="28"/>
          <w:highlight w:val="none"/>
        </w:rPr>
        <w:t xml:space="preserve"> </w:t>
      </w:r>
      <w:r>
        <w:rPr>
          <w:rFonts w:hint="eastAsia" w:ascii="仿宋" w:hAnsi="仿宋" w:eastAsia="仿宋" w:cs="仿宋"/>
          <w:sz w:val="28"/>
          <w:szCs w:val="28"/>
          <w:highlight w:val="none"/>
        </w:rPr>
        <w:t xml:space="preserve">  </w:t>
      </w:r>
    </w:p>
    <w:p w14:paraId="0CB175F3">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b/>
          <w:bCs/>
          <w:sz w:val="28"/>
          <w:szCs w:val="28"/>
          <w:highlight w:val="none"/>
        </w:rPr>
        <w:t xml:space="preserve">五、合同价款 </w:t>
      </w:r>
      <w:r>
        <w:rPr>
          <w:rFonts w:hint="eastAsia" w:ascii="仿宋" w:hAnsi="仿宋" w:eastAsia="仿宋" w:cs="仿宋"/>
          <w:sz w:val="28"/>
          <w:szCs w:val="28"/>
          <w:highlight w:val="none"/>
        </w:rPr>
        <w:t xml:space="preserve">  </w:t>
      </w:r>
    </w:p>
    <w:p w14:paraId="3819380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合同总价=标的物单价×购买数量，合同总价暂定为</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single"/>
        </w:rPr>
        <w:t>元</w:t>
      </w:r>
      <w:r>
        <w:rPr>
          <w:rFonts w:hint="eastAsia" w:ascii="仿宋" w:hAnsi="仿宋" w:eastAsia="仿宋" w:cs="仿宋"/>
          <w:b/>
          <w:bCs/>
          <w:sz w:val="28"/>
          <w:szCs w:val="28"/>
          <w:highlight w:val="none"/>
          <w:u w:val="single"/>
          <w:lang w:eastAsia="zh-CN"/>
        </w:rPr>
        <w:t>，</w:t>
      </w:r>
      <w:r>
        <w:rPr>
          <w:rFonts w:hint="eastAsia" w:ascii="仿宋" w:hAnsi="仿宋" w:eastAsia="仿宋" w:cs="仿宋"/>
          <w:b/>
          <w:bCs/>
          <w:sz w:val="28"/>
          <w:szCs w:val="28"/>
          <w:highlight w:val="none"/>
          <w:u w:val="single"/>
        </w:rPr>
        <w:t>大写：</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single"/>
          <w:lang w:eastAsia="zh-CN"/>
        </w:rPr>
        <w:t>元整</w:t>
      </w:r>
      <w:r>
        <w:rPr>
          <w:rFonts w:hint="eastAsia" w:ascii="仿宋" w:hAnsi="仿宋" w:eastAsia="仿宋" w:cs="仿宋"/>
          <w:b w:val="0"/>
          <w:bCs w:val="0"/>
          <w:sz w:val="28"/>
          <w:szCs w:val="28"/>
          <w:highlight w:val="none"/>
          <w:u w:val="none"/>
          <w:lang w:val="en-US" w:eastAsia="zh-CN"/>
        </w:rPr>
        <w:t>（税率为</w:t>
      </w:r>
      <w:r>
        <w:rPr>
          <w:rFonts w:hint="eastAsia" w:ascii="仿宋" w:hAnsi="仿宋" w:eastAsia="仿宋" w:cs="仿宋"/>
          <w:b w:val="0"/>
          <w:bCs w:val="0"/>
          <w:sz w:val="28"/>
          <w:szCs w:val="28"/>
          <w:highlight w:val="none"/>
          <w:u w:val="single"/>
          <w:lang w:val="en-US" w:eastAsia="zh-CN"/>
        </w:rPr>
        <w:t xml:space="preserve">    </w:t>
      </w:r>
      <w:r>
        <w:rPr>
          <w:rFonts w:hint="eastAsia" w:ascii="仿宋" w:hAnsi="仿宋" w:eastAsia="仿宋" w:cs="仿宋"/>
          <w:b w:val="0"/>
          <w:bCs w:val="0"/>
          <w:sz w:val="28"/>
          <w:szCs w:val="28"/>
          <w:highlight w:val="none"/>
          <w:u w:val="none"/>
          <w:lang w:val="en-US" w:eastAsia="zh-CN"/>
        </w:rPr>
        <w:t>%，其中：不含税金额</w:t>
      </w:r>
      <w:r>
        <w:rPr>
          <w:rFonts w:hint="eastAsia" w:ascii="仿宋" w:hAnsi="仿宋" w:eastAsia="仿宋" w:cs="仿宋"/>
          <w:b w:val="0"/>
          <w:bCs w:val="0"/>
          <w:sz w:val="28"/>
          <w:szCs w:val="28"/>
          <w:highlight w:val="none"/>
          <w:u w:val="single"/>
          <w:lang w:val="en-US" w:eastAsia="zh-CN"/>
        </w:rPr>
        <w:t xml:space="preserve">     </w:t>
      </w:r>
      <w:r>
        <w:rPr>
          <w:rFonts w:hint="eastAsia" w:ascii="仿宋" w:hAnsi="仿宋" w:eastAsia="仿宋" w:cs="仿宋"/>
          <w:b w:val="0"/>
          <w:bCs w:val="0"/>
          <w:sz w:val="28"/>
          <w:szCs w:val="28"/>
          <w:highlight w:val="none"/>
          <w:u w:val="none"/>
          <w:lang w:val="en-US" w:eastAsia="zh-CN"/>
        </w:rPr>
        <w:t>元，增值税税额</w:t>
      </w:r>
      <w:r>
        <w:rPr>
          <w:rFonts w:hint="eastAsia" w:ascii="仿宋" w:hAnsi="仿宋" w:eastAsia="仿宋" w:cs="仿宋"/>
          <w:b w:val="0"/>
          <w:bCs w:val="0"/>
          <w:sz w:val="28"/>
          <w:szCs w:val="28"/>
          <w:highlight w:val="none"/>
          <w:u w:val="single"/>
          <w:lang w:val="en-US" w:eastAsia="zh-CN"/>
        </w:rPr>
        <w:t xml:space="preserve">    </w:t>
      </w:r>
      <w:r>
        <w:rPr>
          <w:rFonts w:hint="eastAsia" w:ascii="仿宋" w:hAnsi="仿宋" w:eastAsia="仿宋" w:cs="仿宋"/>
          <w:b w:val="0"/>
          <w:bCs w:val="0"/>
          <w:sz w:val="28"/>
          <w:szCs w:val="28"/>
          <w:highlight w:val="none"/>
          <w:u w:val="none"/>
          <w:lang w:val="en-US" w:eastAsia="zh-CN"/>
        </w:rPr>
        <w:t>元）</w:t>
      </w:r>
      <w:r>
        <w:rPr>
          <w:rFonts w:hint="eastAsia" w:ascii="仿宋" w:hAnsi="仿宋" w:eastAsia="仿宋" w:cs="仿宋"/>
          <w:sz w:val="28"/>
          <w:szCs w:val="28"/>
          <w:highlight w:val="none"/>
        </w:rPr>
        <w:t>，甲方有权根据实际需要调整购买的数量，双方认可合同单价保持不变；合同总价已包括乙方在本合同履行过程应取得的所有费用（包括但不限于起货、上车、发货、运输至采购人指定下车位置、合同执行期间的市场价格变化风险和国家政策调整风险、税金、管理费、利润、以及因设计变更等因素产生供货品种或数量上的变化须无条件服从等所有的工作内容及费用），乙方不得以任何理由向甲方收取其他费用</w:t>
      </w:r>
      <w:r>
        <w:rPr>
          <w:rFonts w:hint="eastAsia" w:ascii="仿宋" w:hAnsi="仿宋" w:eastAsia="仿宋" w:cs="仿宋"/>
          <w:sz w:val="28"/>
          <w:szCs w:val="28"/>
          <w:highlight w:val="none"/>
          <w:lang w:eastAsia="zh-CN"/>
        </w:rPr>
        <w:t>。</w:t>
      </w:r>
    </w:p>
    <w:p w14:paraId="68A2693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eastAsia="zh-CN"/>
        </w:rPr>
        <w:t>苗木类</w:t>
      </w:r>
      <w:r>
        <w:rPr>
          <w:rFonts w:hint="eastAsia" w:ascii="仿宋" w:hAnsi="仿宋" w:eastAsia="仿宋" w:cs="仿宋"/>
          <w:sz w:val="28"/>
          <w:szCs w:val="28"/>
          <w:highlight w:val="none"/>
        </w:rPr>
        <w:t>开具的发票为</w:t>
      </w:r>
      <w:r>
        <w:rPr>
          <w:rFonts w:hint="eastAsia" w:ascii="仿宋" w:hAnsi="仿宋" w:eastAsia="仿宋" w:cs="仿宋"/>
          <w:sz w:val="28"/>
          <w:szCs w:val="28"/>
          <w:highlight w:val="none"/>
          <w:lang w:eastAsia="zh-CN"/>
        </w:rPr>
        <w:t>增值税</w:t>
      </w:r>
      <w:r>
        <w:rPr>
          <w:rFonts w:hint="eastAsia" w:ascii="仿宋" w:hAnsi="仿宋" w:eastAsia="仿宋" w:cs="仿宋"/>
          <w:sz w:val="28"/>
          <w:szCs w:val="28"/>
          <w:highlight w:val="none"/>
          <w:u w:val="none"/>
          <w:lang w:eastAsia="zh-CN"/>
        </w:rPr>
        <w:t>免税普票</w:t>
      </w:r>
      <w:r>
        <w:rPr>
          <w:rFonts w:hint="eastAsia" w:ascii="仿宋" w:hAnsi="仿宋" w:eastAsia="仿宋" w:cs="仿宋"/>
          <w:sz w:val="28"/>
          <w:szCs w:val="28"/>
          <w:highlight w:val="none"/>
        </w:rPr>
        <w:t>。</w:t>
      </w:r>
    </w:p>
    <w:p w14:paraId="714212F6">
      <w:pPr>
        <w:keepNext w:val="0"/>
        <w:keepLines w:val="0"/>
        <w:pageBreakBefore w:val="0"/>
        <w:widowControl w:val="0"/>
        <w:kinsoku/>
        <w:wordWrap/>
        <w:overflowPunct/>
        <w:topLinePunct w:val="0"/>
        <w:autoSpaceDE/>
        <w:autoSpaceDN/>
        <w:bidi w:val="0"/>
        <w:adjustRightInd/>
        <w:snapToGrid/>
        <w:spacing w:line="580" w:lineRule="exact"/>
        <w:ind w:left="1119" w:leftChars="266" w:hanging="560" w:hangingChars="200"/>
        <w:textAlignment w:val="auto"/>
        <w:rPr>
          <w:rFonts w:hint="eastAsia" w:ascii="仿宋" w:hAnsi="仿宋" w:eastAsia="仿宋" w:cs="仿宋"/>
          <w:b/>
          <w:bCs/>
          <w:color w:val="000000" w:themeColor="text1"/>
          <w:sz w:val="28"/>
          <w:szCs w:val="28"/>
          <w:highlight w:val="none"/>
          <w:u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highlight w:val="none"/>
          <w:u w:val="none"/>
          <w:lang w:val="en-US" w:eastAsia="zh-CN"/>
          <w14:textFill>
            <w14:solidFill>
              <w14:schemeClr w14:val="tx1"/>
            </w14:solidFill>
          </w14:textFill>
        </w:rPr>
        <w:t>2.若未收到甲方的任何指令，当供货金额超出合同总金额的20%时，超出部分的单价按照原合同全费用单价的50%计算。</w:t>
      </w:r>
    </w:p>
    <w:p w14:paraId="1465FC6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14:paraId="27E3CCAC">
      <w:pPr>
        <w:keepNext w:val="0"/>
        <w:keepLines w:val="0"/>
        <w:pageBreakBefore w:val="0"/>
        <w:widowControl w:val="0"/>
        <w:numPr>
          <w:ilvl w:val="0"/>
          <w:numId w:val="1"/>
        </w:numPr>
        <w:kinsoku/>
        <w:wordWrap/>
        <w:overflowPunct/>
        <w:topLinePunct w:val="0"/>
        <w:autoSpaceDE/>
        <w:autoSpaceDN/>
        <w:bidi w:val="0"/>
        <w:adjustRightInd/>
        <w:snapToGrid/>
        <w:spacing w:line="580" w:lineRule="exact"/>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b/>
          <w:bCs/>
          <w:sz w:val="28"/>
          <w:szCs w:val="28"/>
          <w:highlight w:val="none"/>
        </w:rPr>
        <w:t>履约保证金</w:t>
      </w:r>
    </w:p>
    <w:p w14:paraId="446FF94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乙方在签订合同后3个工作日内向甲方递交履约保证金</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rPr>
        <w:t>元，大写：</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single"/>
        </w:rPr>
        <w:t xml:space="preserve">    </w:t>
      </w:r>
      <w:r>
        <w:rPr>
          <w:rFonts w:hint="eastAsia" w:ascii="仿宋" w:hAnsi="仿宋" w:eastAsia="仿宋" w:cs="仿宋"/>
          <w:sz w:val="28"/>
          <w:szCs w:val="28"/>
          <w:highlight w:val="none"/>
        </w:rPr>
        <w:t>，该保证金于供货完成并经甲方验收合格后七个工作日内退还。如乙方在合同签订后不能履约或拒绝履约，则保证金不予退还。</w:t>
      </w:r>
    </w:p>
    <w:p w14:paraId="5022F074">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七、交货地点及方式</w:t>
      </w:r>
    </w:p>
    <w:p w14:paraId="022EF7D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（一）交货地点：</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内甲方指定地点，若场内道路条件允许，乙方需将货物运至甲方指定施工点（不包含货物下车）。</w:t>
      </w:r>
    </w:p>
    <w:p w14:paraId="447192A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（二）交货时间：乙方应于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年</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月</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日</w:t>
      </w:r>
      <w:r>
        <w:rPr>
          <w:rFonts w:hint="eastAsia" w:ascii="仿宋" w:hAnsi="仿宋" w:eastAsia="仿宋" w:cs="仿宋"/>
          <w:sz w:val="28"/>
          <w:szCs w:val="28"/>
          <w:highlight w:val="none"/>
        </w:rPr>
        <w:t>前将标的物运输至甲方指定地点；或甲方在交货截止日期前</w:t>
      </w:r>
      <w:r>
        <w:rPr>
          <w:rFonts w:hint="eastAsia" w:ascii="仿宋" w:hAnsi="仿宋" w:eastAsia="仿宋" w:cs="仿宋"/>
          <w:sz w:val="28"/>
          <w:szCs w:val="28"/>
          <w:highlight w:val="none"/>
          <w:u w:val="single"/>
        </w:rPr>
        <w:t>2</w:t>
      </w:r>
      <w:r>
        <w:rPr>
          <w:rFonts w:hint="eastAsia" w:ascii="仿宋" w:hAnsi="仿宋" w:eastAsia="仿宋" w:cs="仿宋"/>
          <w:sz w:val="28"/>
          <w:szCs w:val="28"/>
          <w:highlight w:val="none"/>
        </w:rPr>
        <w:t>日前短信或电子邮件方式告知乙方的委托代理人，乙方收到后</w:t>
      </w:r>
      <w:r>
        <w:rPr>
          <w:rFonts w:hint="eastAsia" w:ascii="仿宋" w:hAnsi="仿宋" w:eastAsia="仿宋" w:cs="仿宋"/>
          <w:sz w:val="28"/>
          <w:szCs w:val="28"/>
          <w:highlight w:val="none"/>
          <w:u w:val="single"/>
        </w:rPr>
        <w:t>12小时内</w:t>
      </w:r>
      <w:r>
        <w:rPr>
          <w:rFonts w:hint="eastAsia" w:ascii="仿宋" w:hAnsi="仿宋" w:eastAsia="仿宋" w:cs="仿宋"/>
          <w:sz w:val="28"/>
          <w:szCs w:val="28"/>
          <w:highlight w:val="none"/>
        </w:rPr>
        <w:t>未提出书面异议的，视为接受甲方指定的交货日期。</w:t>
      </w:r>
    </w:p>
    <w:p w14:paraId="512AD2B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（三）乙方应在交付标的物24小时前通知甲方，以便甲方安排人员对接。</w:t>
      </w:r>
    </w:p>
    <w:p w14:paraId="1821AC3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（四）乙方在交付标的物时应一并交付说明书、合格证等单据，并附验收清单；甲方指定的人员在验收清单上签名仅代表甲方收到货物，不能视为乙方交付的标的物合格。</w:t>
      </w:r>
    </w:p>
    <w:p w14:paraId="281E88CB">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八、结算付款期限方式</w:t>
      </w:r>
    </w:p>
    <w:p w14:paraId="74DA653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
          <w:color w:val="000000"/>
          <w:spacing w:val="0"/>
          <w:sz w:val="28"/>
          <w:szCs w:val="28"/>
          <w:lang w:eastAsia="zh-CN"/>
        </w:rPr>
      </w:pPr>
      <w:r>
        <w:rPr>
          <w:rFonts w:hint="eastAsia" w:ascii="仿宋" w:hAnsi="仿宋" w:eastAsia="仿宋" w:cs="仿宋"/>
          <w:b w:val="0"/>
          <w:bCs/>
          <w:color w:val="000000"/>
          <w:spacing w:val="0"/>
          <w:sz w:val="28"/>
          <w:szCs w:val="28"/>
        </w:rPr>
        <w:t>结算方式及付款方式按照以下第</w:t>
      </w:r>
      <w:r>
        <w:rPr>
          <w:rFonts w:hint="eastAsia" w:ascii="仿宋" w:hAnsi="仿宋" w:eastAsia="仿宋" w:cs="仿宋"/>
          <w:b w:val="0"/>
          <w:bCs/>
          <w:color w:val="000000"/>
          <w:spacing w:val="0"/>
          <w:sz w:val="28"/>
          <w:szCs w:val="28"/>
          <w:u w:val="single"/>
        </w:rPr>
        <w:t xml:space="preserve">  </w:t>
      </w:r>
      <w:r>
        <w:rPr>
          <w:rFonts w:hint="eastAsia" w:ascii="仿宋" w:hAnsi="仿宋" w:eastAsia="仿宋" w:cs="仿宋"/>
          <w:b w:val="0"/>
          <w:bCs/>
          <w:color w:val="000000"/>
          <w:spacing w:val="0"/>
          <w:sz w:val="28"/>
          <w:szCs w:val="28"/>
          <w:u w:val="single"/>
          <w:lang w:val="en-US" w:eastAsia="zh-CN"/>
        </w:rPr>
        <w:t xml:space="preserve">  </w:t>
      </w:r>
      <w:r>
        <w:rPr>
          <w:rFonts w:hint="eastAsia" w:ascii="仿宋" w:hAnsi="仿宋" w:eastAsia="仿宋" w:cs="仿宋"/>
          <w:b w:val="0"/>
          <w:bCs/>
          <w:color w:val="000000"/>
          <w:spacing w:val="0"/>
          <w:sz w:val="28"/>
          <w:szCs w:val="28"/>
          <w:u w:val="single"/>
        </w:rPr>
        <w:t xml:space="preserve"> </w:t>
      </w:r>
      <w:r>
        <w:rPr>
          <w:rFonts w:hint="eastAsia" w:ascii="仿宋" w:hAnsi="仿宋" w:eastAsia="仿宋" w:cs="仿宋"/>
          <w:b w:val="0"/>
          <w:bCs/>
          <w:color w:val="000000"/>
          <w:spacing w:val="0"/>
          <w:sz w:val="28"/>
          <w:szCs w:val="28"/>
        </w:rPr>
        <w:t>种的方式。甲方付款前，乙方应提供相应增值税发票，否则甲方有权拒付此款；如最终乙方无法提供相应发票，乙方自愿扣除货款总额15%作为未出具发票的违约金，乙方不得以违约金过高为由请求法院或仲裁机构减少违约金。</w:t>
      </w:r>
      <w:r>
        <w:rPr>
          <w:rFonts w:hint="eastAsia" w:ascii="仿宋" w:hAnsi="仿宋" w:eastAsia="仿宋" w:cs="仿宋"/>
          <w:b/>
          <w:color w:val="000000"/>
          <w:spacing w:val="0"/>
          <w:sz w:val="28"/>
          <w:szCs w:val="28"/>
          <w:lang w:eastAsia="zh-CN"/>
        </w:rPr>
        <w:t>在合同执行过程中，如因国家税务政策导致增值税税率发生变化，则对于增值税税率变动生效后发生的增值税应税行为，双方同意保持不含税金额不变，根据变更后的税率调整计算本合同约定价款。</w:t>
      </w:r>
    </w:p>
    <w:p w14:paraId="57F43869">
      <w:pPr>
        <w:ind w:firstLine="551" w:firstLineChars="196"/>
        <w:rPr>
          <w:rFonts w:hint="eastAsia" w:ascii="仿宋" w:hAnsi="仿宋" w:eastAsia="仿宋" w:cs="仿宋"/>
          <w:b/>
          <w:spacing w:val="0"/>
          <w:sz w:val="28"/>
          <w:szCs w:val="28"/>
        </w:rPr>
      </w:pPr>
      <w:r>
        <w:rPr>
          <w:rFonts w:hint="eastAsia" w:ascii="仿宋" w:hAnsi="仿宋" w:eastAsia="仿宋" w:cs="仿宋"/>
          <w:b/>
          <w:spacing w:val="0"/>
          <w:sz w:val="28"/>
          <w:szCs w:val="28"/>
        </w:rPr>
        <w:t>（一）付款日期及结算方式一：</w:t>
      </w:r>
    </w:p>
    <w:p w14:paraId="08A75AE3">
      <w:pPr>
        <w:spacing w:line="360" w:lineRule="auto"/>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1、</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方完成供货后，依据</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方现场负责人、材料员、造价人员核实签字的实际到货确认数量及单价（见附表一）按实结算，任缺一人签字无效。</w:t>
      </w:r>
    </w:p>
    <w:p w14:paraId="75701EA4">
      <w:pPr>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2、</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方在</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方完成全部苗木供应并经</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方验收合格按第1条要求结算后，于十个工作日内支付</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方实际供货金额30%的货款，剩余款项于6个月后的一个星期内完成支付。</w:t>
      </w:r>
    </w:p>
    <w:p w14:paraId="2029C834">
      <w:pPr>
        <w:spacing w:line="360" w:lineRule="auto"/>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 xml:space="preserve"> 3、对于本次供货有新增品种的，由</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方供货前报</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方审核批准后执行。</w:t>
      </w:r>
    </w:p>
    <w:p w14:paraId="47F87758">
      <w:pPr>
        <w:ind w:firstLine="551" w:firstLineChars="196"/>
        <w:rPr>
          <w:rFonts w:hint="eastAsia" w:ascii="仿宋" w:hAnsi="仿宋" w:eastAsia="仿宋" w:cs="仿宋"/>
          <w:b/>
          <w:bCs/>
          <w:spacing w:val="0"/>
          <w:sz w:val="28"/>
          <w:szCs w:val="28"/>
        </w:rPr>
      </w:pPr>
      <w:r>
        <w:rPr>
          <w:rFonts w:hint="eastAsia" w:ascii="仿宋" w:hAnsi="仿宋" w:eastAsia="仿宋" w:cs="仿宋"/>
          <w:b/>
          <w:bCs/>
          <w:spacing w:val="0"/>
          <w:sz w:val="28"/>
          <w:szCs w:val="28"/>
        </w:rPr>
        <w:t>（二）付款日期及结算方式二：</w:t>
      </w:r>
    </w:p>
    <w:p w14:paraId="253B7C12">
      <w:pPr>
        <w:spacing w:line="360" w:lineRule="auto"/>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1、</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方完成供货后，依据</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方现场负责人、材料员、造价人员核实签字的实际到货确认数量及单价（见附表一）按实结算，任缺一人签字无效。</w:t>
      </w:r>
    </w:p>
    <w:p w14:paraId="55C29EA3">
      <w:pPr>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2、</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方在</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方完成全部苗木供应并经</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方验收合格按第1条要求结算后的十个工作日内一次性付清实际供货款的全部款项。</w:t>
      </w:r>
    </w:p>
    <w:p w14:paraId="488C2D95">
      <w:pPr>
        <w:spacing w:line="360" w:lineRule="auto"/>
        <w:ind w:firstLine="560" w:firstLineChars="200"/>
        <w:rPr>
          <w:rFonts w:hint="eastAsia" w:ascii="仿宋" w:hAnsi="仿宋" w:eastAsia="仿宋" w:cs="仿宋"/>
          <w:spacing w:val="0"/>
          <w:sz w:val="28"/>
          <w:szCs w:val="28"/>
        </w:rPr>
      </w:pPr>
      <w:r>
        <w:rPr>
          <w:rFonts w:hint="eastAsia" w:ascii="仿宋" w:hAnsi="仿宋" w:eastAsia="仿宋" w:cs="仿宋"/>
          <w:spacing w:val="0"/>
          <w:sz w:val="28"/>
          <w:szCs w:val="28"/>
        </w:rPr>
        <w:t>3、对于本次供货有新增品种的，由</w:t>
      </w:r>
      <w:r>
        <w:rPr>
          <w:rFonts w:hint="eastAsia" w:ascii="仿宋" w:hAnsi="仿宋" w:eastAsia="仿宋" w:cs="仿宋"/>
          <w:spacing w:val="0"/>
          <w:sz w:val="28"/>
          <w:szCs w:val="28"/>
          <w:lang w:eastAsia="zh-CN"/>
        </w:rPr>
        <w:t>乙</w:t>
      </w:r>
      <w:r>
        <w:rPr>
          <w:rFonts w:hint="eastAsia" w:ascii="仿宋" w:hAnsi="仿宋" w:eastAsia="仿宋" w:cs="仿宋"/>
          <w:spacing w:val="0"/>
          <w:sz w:val="28"/>
          <w:szCs w:val="28"/>
        </w:rPr>
        <w:t>方供货前报</w:t>
      </w:r>
      <w:r>
        <w:rPr>
          <w:rFonts w:hint="eastAsia" w:ascii="仿宋" w:hAnsi="仿宋" w:eastAsia="仿宋" w:cs="仿宋"/>
          <w:spacing w:val="0"/>
          <w:sz w:val="28"/>
          <w:szCs w:val="28"/>
          <w:lang w:eastAsia="zh-CN"/>
        </w:rPr>
        <w:t>甲</w:t>
      </w:r>
      <w:r>
        <w:rPr>
          <w:rFonts w:hint="eastAsia" w:ascii="仿宋" w:hAnsi="仿宋" w:eastAsia="仿宋" w:cs="仿宋"/>
          <w:spacing w:val="0"/>
          <w:sz w:val="28"/>
          <w:szCs w:val="28"/>
        </w:rPr>
        <w:t>方审核批准后执行。</w:t>
      </w:r>
    </w:p>
    <w:p w14:paraId="51689F89">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九、违约责任</w:t>
      </w:r>
    </w:p>
    <w:p w14:paraId="6B1580B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（一）双方应当严格按照合同约定履行合同义务，否则违约方向对方支付</w:t>
      </w:r>
      <w:r>
        <w:rPr>
          <w:rFonts w:hint="eastAsia" w:ascii="仿宋" w:hAnsi="仿宋" w:eastAsia="仿宋" w:cs="仿宋"/>
          <w:sz w:val="28"/>
          <w:szCs w:val="28"/>
          <w:highlight w:val="none"/>
          <w:u w:val="single"/>
        </w:rPr>
        <w:t>合同总金额5%的违约金</w:t>
      </w:r>
      <w:r>
        <w:rPr>
          <w:rFonts w:hint="eastAsia" w:ascii="仿宋" w:hAnsi="仿宋" w:eastAsia="仿宋" w:cs="仿宋"/>
          <w:sz w:val="28"/>
          <w:szCs w:val="28"/>
          <w:highlight w:val="none"/>
        </w:rPr>
        <w:t>；</w:t>
      </w:r>
    </w:p>
    <w:p w14:paraId="0C3E72E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C0504D"/>
          <w:sz w:val="28"/>
          <w:szCs w:val="28"/>
          <w:highlight w:val="none"/>
        </w:rPr>
      </w:pPr>
      <w:r>
        <w:rPr>
          <w:rFonts w:hint="eastAsia" w:ascii="仿宋" w:hAnsi="仿宋" w:eastAsia="仿宋" w:cs="仿宋"/>
          <w:sz w:val="28"/>
          <w:szCs w:val="28"/>
          <w:highlight w:val="none"/>
        </w:rPr>
        <w:t>（二）乙方交付的货物质量或包装不符合国家、地方、行业规定或者合同约</w:t>
      </w:r>
      <w:r>
        <w:rPr>
          <w:rFonts w:hint="eastAsia" w:ascii="仿宋" w:hAnsi="仿宋" w:eastAsia="仿宋" w:cs="仿宋"/>
          <w:w w:val="95"/>
          <w:sz w:val="28"/>
          <w:szCs w:val="28"/>
          <w:highlight w:val="none"/>
        </w:rPr>
        <w:t>定的，甲方有权要求乙方赔偿</w:t>
      </w:r>
      <w:r>
        <w:rPr>
          <w:rFonts w:hint="eastAsia" w:ascii="仿宋" w:hAnsi="仿宋" w:eastAsia="仿宋" w:cs="仿宋"/>
          <w:w w:val="95"/>
          <w:sz w:val="28"/>
          <w:szCs w:val="28"/>
          <w:highlight w:val="none"/>
          <w:u w:val="single"/>
        </w:rPr>
        <w:t>合同总金额的5%，</w:t>
      </w:r>
      <w:r>
        <w:rPr>
          <w:rFonts w:hint="eastAsia" w:ascii="仿宋" w:hAnsi="仿宋" w:eastAsia="仿宋" w:cs="仿宋"/>
          <w:sz w:val="28"/>
          <w:szCs w:val="28"/>
          <w:highlight w:val="none"/>
        </w:rPr>
        <w:t>甲方有权选择让乙方更换合格标的物或者解除合同，解除合同的，本合同自乙方接收到甲方通知时解除；并承担甲方主张权利而产生的律师费、保全费、诉讼费等一切费用，上述费用不足以弥补甲方损失的，乙方还应赔偿甲方的损失，包括直接损失和可得利益损失。</w:t>
      </w:r>
    </w:p>
    <w:p w14:paraId="4F726306">
      <w:pPr>
        <w:keepNext w:val="0"/>
        <w:keepLines w:val="0"/>
        <w:pageBreakBefore w:val="0"/>
        <w:widowControl w:val="0"/>
        <w:kinsoku/>
        <w:wordWrap/>
        <w:overflowPunct/>
        <w:topLinePunct w:val="0"/>
        <w:autoSpaceDE/>
        <w:autoSpaceDN/>
        <w:bidi w:val="0"/>
        <w:adjustRightInd/>
        <w:snapToGrid/>
        <w:spacing w:line="580" w:lineRule="exact"/>
        <w:ind w:firstLine="6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（三）乙方未按期向甲方交付约定数量的货物的，乙方自愿赔偿甲方</w:t>
      </w:r>
      <w:r>
        <w:rPr>
          <w:rFonts w:hint="eastAsia" w:ascii="仿宋" w:hAnsi="仿宋" w:eastAsia="仿宋" w:cs="仿宋"/>
          <w:sz w:val="28"/>
          <w:szCs w:val="28"/>
          <w:highlight w:val="none"/>
          <w:u w:val="single"/>
        </w:rPr>
        <w:t>合同总金额的5%</w:t>
      </w:r>
      <w:r>
        <w:rPr>
          <w:rFonts w:hint="eastAsia" w:ascii="仿宋" w:hAnsi="仿宋" w:eastAsia="仿宋" w:cs="仿宋"/>
          <w:sz w:val="28"/>
          <w:szCs w:val="28"/>
          <w:highlight w:val="none"/>
        </w:rPr>
        <w:t>。甲方有权选择让乙方继续供货或者解除合同，解除合同的，本合同自乙方接收到甲方通知时解除；并承担甲方主张权利而产生的律师费、保全费、诉讼费等一切费用，上述费用不足弥补甲方另行采购的损失的，乙方还应补偿甲方因此遭受的损失，包括直接损失和可得利益损失；</w:t>
      </w:r>
    </w:p>
    <w:p w14:paraId="7E0B847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highlight w:val="none"/>
        </w:rPr>
      </w:pPr>
      <w:r>
        <w:rPr>
          <w:rFonts w:hint="eastAsia" w:ascii="仿宋" w:hAnsi="仿宋" w:eastAsia="仿宋" w:cs="仿宋"/>
          <w:sz w:val="28"/>
          <w:szCs w:val="28"/>
          <w:highlight w:val="none"/>
        </w:rPr>
        <w:t>（四）按乙方通知的到货时间，甲方组织相应数量的工人进行收货。乙方未按通知的到货时间到货，造成的甲方相应工人窝工的费用，由乙方承担。</w:t>
      </w:r>
    </w:p>
    <w:p w14:paraId="75F772F5">
      <w:pPr>
        <w:keepNext w:val="0"/>
        <w:keepLines w:val="0"/>
        <w:pageBreakBefore w:val="0"/>
        <w:widowControl w:val="0"/>
        <w:kinsoku/>
        <w:wordWrap/>
        <w:overflowPunct/>
        <w:topLinePunct w:val="0"/>
        <w:autoSpaceDE/>
        <w:autoSpaceDN/>
        <w:bidi w:val="0"/>
        <w:adjustRightInd/>
        <w:snapToGrid/>
        <w:spacing w:line="580" w:lineRule="exact"/>
        <w:ind w:firstLine="6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（五）标的物为数物，其中一物不符合约定的，甲方可以就该物解除合同，也可以就数物解除合同；</w:t>
      </w:r>
    </w:p>
    <w:p w14:paraId="3E770465">
      <w:pPr>
        <w:keepNext w:val="0"/>
        <w:keepLines w:val="0"/>
        <w:pageBreakBefore w:val="0"/>
        <w:widowControl w:val="0"/>
        <w:kinsoku/>
        <w:wordWrap/>
        <w:overflowPunct/>
        <w:topLinePunct w:val="0"/>
        <w:autoSpaceDE/>
        <w:autoSpaceDN/>
        <w:bidi w:val="0"/>
        <w:adjustRightInd/>
        <w:snapToGrid/>
        <w:spacing w:line="580" w:lineRule="exact"/>
        <w:ind w:firstLine="6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（六）违约责任在本协议期满、解除后仍然适用。</w:t>
      </w:r>
    </w:p>
    <w:p w14:paraId="6E47A369">
      <w:pPr>
        <w:keepNext w:val="0"/>
        <w:keepLines w:val="0"/>
        <w:pageBreakBefore w:val="0"/>
        <w:widowControl w:val="0"/>
        <w:kinsoku/>
        <w:wordWrap/>
        <w:overflowPunct/>
        <w:topLinePunct w:val="0"/>
        <w:autoSpaceDE/>
        <w:autoSpaceDN/>
        <w:bidi w:val="0"/>
        <w:adjustRightInd/>
        <w:snapToGrid/>
        <w:spacing w:line="580" w:lineRule="exact"/>
        <w:ind w:firstLine="843" w:firstLineChars="3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十、权属及保密约定</w:t>
      </w:r>
    </w:p>
    <w:p w14:paraId="48E3E09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（一）乙方应保证甲方在使用本采购合同项下的货物或其任何一部分时免受第三方侵犯其所有权、知识产权、商标权或工业设计权的起诉；</w:t>
      </w:r>
    </w:p>
    <w:p w14:paraId="397CDA5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（二）甲方不对乙方提供的货物的商标、专利是否侵犯他人的权利负责，如因乙方提供货物引发争议或违法导致甲方受损的，乙方应当赔偿；</w:t>
      </w:r>
    </w:p>
    <w:p w14:paraId="6D9AF9F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（三）乙方应保证提供货物的商标、专利等知识产权归乙方所有，对于非乙方所有知识产权的货物，乙方有义务提供给甲方正规渠道证明；</w:t>
      </w:r>
    </w:p>
    <w:p w14:paraId="0A7F009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（四）乙方商标、专利许可需方的使用范围仅限于合同范围内产品，合同终止后，乙方应授权需方或第三方从事制造所必须的知识产权、技术协助，技术文件设备或工具；</w:t>
      </w:r>
    </w:p>
    <w:p w14:paraId="52D0F8F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收方可仅为本协议目的向其确有知悉必要的雇员披露对方提供的保密资料，但同时须指示其雇员遵守本条规定的保密及不披露义务。双方应仅为本协议目的而复制和使用保密资料；</w:t>
      </w:r>
    </w:p>
    <w:p w14:paraId="4D7FB85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（六）除非得到另一方的书面许可，甲乙双方均不得将本合同中的内容及在本合同执行过程中获得的对方的商业信息向任何第三方泄露；</w:t>
      </w:r>
    </w:p>
    <w:p w14:paraId="05680FC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（七）本保密义务在本协议期满、解除或终止后仍然有效。</w:t>
      </w:r>
    </w:p>
    <w:p w14:paraId="78E15CDA">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十一、其他约定</w:t>
      </w:r>
    </w:p>
    <w:p w14:paraId="78AEEF95">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（一）本合同标的物毁损、灭失的风险自交付后且甲方指定的人签字后发生转移；</w:t>
      </w:r>
    </w:p>
    <w:p w14:paraId="579DA9DC">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（二）双方同意按照合同载明的通信地点送达各类文书（包括行政、司法、仲裁文书），如合同载明的通信地点无人签收，自相关文书退回之日视为送达；</w:t>
      </w:r>
    </w:p>
    <w:p w14:paraId="5E67F646">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（三）乙方交付货物时应注意交付现场安全，在确保交付安全的情况下向甲方交付货物；</w:t>
      </w:r>
    </w:p>
    <w:p w14:paraId="4FE9A1BB">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rPr>
        <w:t>（四）合同双方对合同条款已充分阅读，完全理解合同中每一条款的含义；</w:t>
      </w:r>
    </w:p>
    <w:p w14:paraId="35C0D17F">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（五）合同中载明的代理人的任何承诺、通知对委托方具有拘束力，但违反法律、法规以及其双方明示禁止的除外；</w:t>
      </w:r>
    </w:p>
    <w:p w14:paraId="2B70EB92">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（六）因本合同发生纠纷，合同双方不能协商解决时，可向泸州仲裁委员会申请裁决；</w:t>
      </w:r>
    </w:p>
    <w:p w14:paraId="03CAE42B">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（七）本合同一式</w:t>
      </w:r>
      <w:r>
        <w:rPr>
          <w:rFonts w:hint="eastAsia" w:ascii="仿宋" w:hAnsi="仿宋" w:eastAsia="仿宋" w:cs="仿宋"/>
          <w:sz w:val="28"/>
          <w:szCs w:val="28"/>
          <w:highlight w:val="none"/>
          <w:lang w:eastAsia="zh-CN"/>
        </w:rPr>
        <w:t>陆</w:t>
      </w:r>
      <w:r>
        <w:rPr>
          <w:rFonts w:hint="eastAsia" w:ascii="仿宋" w:hAnsi="仿宋" w:eastAsia="仿宋" w:cs="仿宋"/>
          <w:sz w:val="28"/>
          <w:szCs w:val="28"/>
          <w:highlight w:val="none"/>
        </w:rPr>
        <w:t>份，甲方执</w:t>
      </w:r>
      <w:r>
        <w:rPr>
          <w:rFonts w:hint="eastAsia" w:ascii="仿宋" w:hAnsi="仿宋" w:eastAsia="仿宋" w:cs="仿宋"/>
          <w:sz w:val="28"/>
          <w:szCs w:val="28"/>
          <w:highlight w:val="none"/>
          <w:u w:val="single"/>
          <w:lang w:eastAsia="zh-CN"/>
        </w:rPr>
        <w:t>伍</w:t>
      </w:r>
      <w:r>
        <w:rPr>
          <w:rFonts w:hint="eastAsia" w:ascii="仿宋" w:hAnsi="仿宋" w:eastAsia="仿宋" w:cs="仿宋"/>
          <w:sz w:val="28"/>
          <w:szCs w:val="28"/>
          <w:highlight w:val="none"/>
        </w:rPr>
        <w:t>份，乙方执</w:t>
      </w:r>
      <w:r>
        <w:rPr>
          <w:rFonts w:hint="eastAsia" w:ascii="仿宋" w:hAnsi="仿宋" w:eastAsia="仿宋" w:cs="仿宋"/>
          <w:sz w:val="28"/>
          <w:szCs w:val="28"/>
          <w:highlight w:val="none"/>
          <w:u w:val="single"/>
        </w:rPr>
        <w:t>壹</w:t>
      </w:r>
      <w:r>
        <w:rPr>
          <w:rFonts w:hint="eastAsia" w:ascii="仿宋" w:hAnsi="仿宋" w:eastAsia="仿宋" w:cs="仿宋"/>
          <w:sz w:val="28"/>
          <w:szCs w:val="28"/>
          <w:highlight w:val="none"/>
        </w:rPr>
        <w:t>份，双方签字或盖章后生效。</w:t>
      </w:r>
    </w:p>
    <w:p w14:paraId="3B6F0F35">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十二、附件</w:t>
      </w:r>
    </w:p>
    <w:p w14:paraId="70EDA15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u w:val="none"/>
        </w:rPr>
      </w:pPr>
      <w:r>
        <w:rPr>
          <w:rFonts w:hint="eastAsia" w:ascii="仿宋" w:hAnsi="仿宋" w:eastAsia="仿宋" w:cs="仿宋"/>
          <w:b w:val="0"/>
          <w:bCs w:val="0"/>
          <w:sz w:val="28"/>
          <w:szCs w:val="28"/>
          <w:highlight w:val="none"/>
          <w:lang w:eastAsia="zh-CN"/>
        </w:rPr>
        <w:t>附件</w:t>
      </w:r>
      <w:r>
        <w:rPr>
          <w:rFonts w:hint="eastAsia" w:ascii="仿宋" w:hAnsi="仿宋" w:eastAsia="仿宋" w:cs="仿宋"/>
          <w:b w:val="0"/>
          <w:bCs w:val="0"/>
          <w:sz w:val="28"/>
          <w:szCs w:val="28"/>
          <w:highlight w:val="none"/>
        </w:rPr>
        <w:t>一：</w:t>
      </w:r>
      <w:r>
        <w:rPr>
          <w:rFonts w:hint="eastAsia" w:ascii="仿宋" w:hAnsi="仿宋" w:eastAsia="仿宋" w:cs="仿宋"/>
          <w:b w:val="0"/>
          <w:bCs w:val="0"/>
          <w:sz w:val="28"/>
          <w:szCs w:val="28"/>
          <w:highlight w:val="none"/>
          <w:u w:val="single"/>
          <w:lang w:val="en-US" w:eastAsia="zh-CN"/>
        </w:rPr>
        <w:t xml:space="preserve">                     </w:t>
      </w:r>
      <w:r>
        <w:rPr>
          <w:rFonts w:hint="eastAsia" w:ascii="仿宋" w:hAnsi="仿宋" w:eastAsia="仿宋" w:cs="仿宋"/>
          <w:b w:val="0"/>
          <w:bCs w:val="0"/>
          <w:sz w:val="28"/>
          <w:szCs w:val="28"/>
          <w:highlight w:val="none"/>
          <w:u w:val="none"/>
        </w:rPr>
        <w:t>工程苗木采购价格确认表</w:t>
      </w:r>
    </w:p>
    <w:p w14:paraId="33C913A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附件二：廉</w:t>
      </w:r>
      <w:r>
        <w:rPr>
          <w:rFonts w:hint="eastAsia" w:ascii="仿宋" w:hAnsi="仿宋" w:eastAsia="仿宋" w:cs="仿宋"/>
          <w:b w:val="0"/>
          <w:bCs w:val="0"/>
          <w:sz w:val="28"/>
          <w:szCs w:val="28"/>
          <w:highlight w:val="none"/>
          <w:lang w:eastAsia="zh-CN"/>
        </w:rPr>
        <w:t>洁</w:t>
      </w:r>
      <w:r>
        <w:rPr>
          <w:rFonts w:hint="eastAsia" w:ascii="仿宋" w:hAnsi="仿宋" w:eastAsia="仿宋" w:cs="仿宋"/>
          <w:b w:val="0"/>
          <w:bCs w:val="0"/>
          <w:sz w:val="28"/>
          <w:szCs w:val="28"/>
          <w:highlight w:val="none"/>
        </w:rPr>
        <w:t>协议</w:t>
      </w:r>
    </w:p>
    <w:p w14:paraId="7FD38CC3">
      <w:pPr>
        <w:pStyle w:val="2"/>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sz w:val="28"/>
          <w:szCs w:val="28"/>
          <w:highlight w:val="none"/>
        </w:rPr>
      </w:pPr>
      <w:r>
        <w:rPr>
          <w:rFonts w:hint="eastAsia" w:ascii="仿宋" w:hAnsi="仿宋" w:eastAsia="仿宋" w:cs="仿宋"/>
          <w:b w:val="0"/>
          <w:bCs w:val="0"/>
          <w:sz w:val="28"/>
          <w:szCs w:val="28"/>
          <w:highlight w:val="none"/>
        </w:rPr>
        <w:t>附件三：</w:t>
      </w:r>
      <w:r>
        <w:rPr>
          <w:rFonts w:hint="eastAsia" w:ascii="仿宋" w:hAnsi="仿宋" w:eastAsia="仿宋" w:cs="仿宋"/>
          <w:b w:val="0"/>
          <w:bCs w:val="0"/>
          <w:sz w:val="28"/>
          <w:szCs w:val="28"/>
          <w:highlight w:val="none"/>
          <w:lang w:eastAsia="zh-CN"/>
        </w:rPr>
        <w:t>材料</w:t>
      </w:r>
      <w:r>
        <w:rPr>
          <w:rFonts w:hint="eastAsia" w:ascii="仿宋" w:hAnsi="仿宋" w:eastAsia="仿宋" w:cs="仿宋"/>
          <w:b w:val="0"/>
          <w:bCs w:val="0"/>
          <w:sz w:val="28"/>
          <w:szCs w:val="28"/>
          <w:highlight w:val="none"/>
          <w:lang w:val="en-US" w:eastAsia="zh-CN"/>
        </w:rPr>
        <w:t>/工程材料结算单</w:t>
      </w:r>
      <w:r>
        <w:rPr>
          <w:rFonts w:hint="eastAsia" w:ascii="仿宋" w:hAnsi="仿宋" w:eastAsia="仿宋" w:cs="仿宋"/>
          <w:b/>
          <w:bCs/>
          <w:sz w:val="28"/>
          <w:szCs w:val="28"/>
          <w:highlight w:val="none"/>
        </w:rPr>
        <w:t xml:space="preserve">       </w:t>
      </w:r>
    </w:p>
    <w:p w14:paraId="048B169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（以下无正文）</w:t>
      </w:r>
    </w:p>
    <w:p w14:paraId="70A1130A">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4C2A2041">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07AF05C1">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59F8A902">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2E0BE3F5">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18D8ADB9">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2BC21986">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5BACFA09">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77E70C08">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333780D9">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 w:hAnsi="仿宋" w:eastAsia="仿宋" w:cs="仿宋"/>
          <w:spacing w:val="0"/>
          <w:sz w:val="28"/>
          <w:szCs w:val="28"/>
          <w:highlight w:val="none"/>
        </w:rPr>
      </w:pPr>
    </w:p>
    <w:p w14:paraId="705DF679">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spacing w:val="0"/>
          <w:sz w:val="28"/>
          <w:szCs w:val="28"/>
          <w:highlight w:val="none"/>
          <w:lang w:eastAsia="zh-CN"/>
        </w:rPr>
      </w:pPr>
      <w:r>
        <w:rPr>
          <w:rFonts w:hint="eastAsia" w:ascii="仿宋" w:hAnsi="仿宋" w:eastAsia="仿宋" w:cs="仿宋"/>
          <w:spacing w:val="0"/>
          <w:sz w:val="28"/>
          <w:szCs w:val="28"/>
          <w:highlight w:val="none"/>
        </w:rPr>
        <w:t>甲方：</w:t>
      </w:r>
      <w:r>
        <w:rPr>
          <w:rFonts w:hint="eastAsia" w:ascii="仿宋" w:hAnsi="仿宋" w:eastAsia="仿宋" w:cs="仿宋"/>
          <w:spacing w:val="0"/>
          <w:sz w:val="28"/>
          <w:szCs w:val="28"/>
          <w:highlight w:val="none"/>
          <w:lang w:eastAsia="zh-CN"/>
        </w:rPr>
        <w:t>（盖章）</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rPr>
        <w:t>乙方：</w:t>
      </w:r>
      <w:r>
        <w:rPr>
          <w:rFonts w:hint="eastAsia" w:ascii="仿宋" w:hAnsi="仿宋" w:eastAsia="仿宋" w:cs="仿宋"/>
          <w:spacing w:val="0"/>
          <w:sz w:val="28"/>
          <w:szCs w:val="28"/>
          <w:highlight w:val="none"/>
          <w:lang w:eastAsia="zh-CN"/>
        </w:rPr>
        <w:t>（盖章）</w:t>
      </w:r>
    </w:p>
    <w:p w14:paraId="679F915C">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法定代表人</w:t>
      </w:r>
      <w:r>
        <w:rPr>
          <w:rFonts w:hint="eastAsia" w:ascii="仿宋" w:hAnsi="仿宋" w:eastAsia="仿宋" w:cs="仿宋"/>
          <w:spacing w:val="0"/>
          <w:sz w:val="28"/>
          <w:szCs w:val="28"/>
          <w:highlight w:val="none"/>
          <w:lang w:eastAsia="zh-CN"/>
        </w:rPr>
        <w:t>（签</w:t>
      </w:r>
      <w:r>
        <w:rPr>
          <w:rFonts w:hint="eastAsia" w:ascii="仿宋" w:hAnsi="仿宋" w:eastAsia="仿宋" w:cs="仿宋"/>
          <w:spacing w:val="0"/>
          <w:sz w:val="28"/>
          <w:szCs w:val="28"/>
          <w:highlight w:val="none"/>
          <w:lang w:val="en-US" w:eastAsia="zh-CN"/>
        </w:rPr>
        <w:t>/章</w:t>
      </w:r>
      <w:r>
        <w:rPr>
          <w:rFonts w:hint="eastAsia" w:ascii="仿宋" w:hAnsi="仿宋" w:eastAsia="仿宋" w:cs="仿宋"/>
          <w:spacing w:val="0"/>
          <w:sz w:val="28"/>
          <w:szCs w:val="28"/>
          <w:highlight w:val="none"/>
          <w:lang w:eastAsia="zh-CN"/>
        </w:rPr>
        <w:t>）</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eastAsia="zh-CN"/>
        </w:rPr>
        <w:t>法定代表人</w:t>
      </w:r>
      <w:r>
        <w:rPr>
          <w:rFonts w:hint="eastAsia" w:ascii="仿宋" w:hAnsi="仿宋" w:eastAsia="仿宋" w:cs="仿宋"/>
          <w:spacing w:val="0"/>
          <w:sz w:val="28"/>
          <w:szCs w:val="28"/>
          <w:highlight w:val="none"/>
        </w:rPr>
        <w:t xml:space="preserve">：             </w:t>
      </w:r>
    </w:p>
    <w:p w14:paraId="1EDB39E2">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highlight w:val="none"/>
          <w:lang w:val="en-US" w:eastAsia="zh-CN"/>
        </w:rPr>
      </w:pPr>
      <w:r>
        <w:rPr>
          <w:rFonts w:hint="eastAsia" w:ascii="仿宋" w:hAnsi="仿宋" w:eastAsia="仿宋" w:cs="仿宋"/>
          <w:spacing w:val="0"/>
          <w:sz w:val="28"/>
          <w:szCs w:val="28"/>
          <w:highlight w:val="none"/>
          <w:lang w:eastAsia="zh-CN"/>
        </w:rPr>
        <w:t>项目负责人</w:t>
      </w:r>
      <w:r>
        <w:rPr>
          <w:rFonts w:hint="eastAsia" w:ascii="仿宋" w:hAnsi="仿宋" w:eastAsia="仿宋" w:cs="仿宋"/>
          <w:spacing w:val="0"/>
          <w:sz w:val="28"/>
          <w:szCs w:val="28"/>
          <w:highlight w:val="none"/>
        </w:rPr>
        <w:t>：</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或委托代理人：</w:t>
      </w:r>
    </w:p>
    <w:p w14:paraId="3911148F">
      <w:pPr>
        <w:keepNext w:val="0"/>
        <w:keepLines w:val="0"/>
        <w:pageBreakBefore w:val="0"/>
        <w:widowControl w:val="0"/>
        <w:kinsoku/>
        <w:wordWrap/>
        <w:overflowPunct/>
        <w:topLinePunct w:val="0"/>
        <w:autoSpaceDE/>
        <w:autoSpaceDN/>
        <w:bidi w:val="0"/>
        <w:adjustRightInd/>
        <w:snapToGrid/>
        <w:spacing w:line="580" w:lineRule="exact"/>
        <w:ind w:firstLine="240" w:firstLineChars="100"/>
        <w:textAlignment w:val="auto"/>
        <w:rPr>
          <w:rFonts w:hint="eastAsia" w:ascii="仿宋" w:hAnsi="仿宋" w:eastAsia="仿宋" w:cs="仿宋"/>
          <w:spacing w:val="0"/>
          <w:sz w:val="28"/>
          <w:szCs w:val="28"/>
          <w:highlight w:val="none"/>
          <w:lang w:val="en-US" w:eastAsia="zh-CN"/>
        </w:rPr>
      </w:pPr>
      <w:r>
        <w:rPr>
          <w:rFonts w:hint="eastAsia" w:ascii="仿宋" w:hAnsi="仿宋" w:eastAsia="仿宋" w:cs="仿宋"/>
          <w:spacing w:val="0"/>
          <w:sz w:val="24"/>
          <w:szCs w:val="24"/>
          <w:highlight w:val="none"/>
          <w:lang w:eastAsia="zh-CN"/>
        </w:rPr>
        <w:t>项目现场</w:t>
      </w:r>
      <w:r>
        <w:rPr>
          <w:rFonts w:hint="eastAsia" w:ascii="仿宋" w:hAnsi="仿宋" w:eastAsia="仿宋" w:cs="仿宋"/>
          <w:spacing w:val="0"/>
          <w:sz w:val="24"/>
          <w:szCs w:val="24"/>
          <w:highlight w:val="none"/>
        </w:rPr>
        <w:t>联系电话：</w:t>
      </w:r>
      <w:r>
        <w:rPr>
          <w:rFonts w:hint="eastAsia" w:ascii="仿宋" w:hAnsi="仿宋" w:eastAsia="仿宋" w:cs="仿宋"/>
          <w:spacing w:val="0"/>
          <w:sz w:val="24"/>
          <w:szCs w:val="24"/>
          <w:highlight w:val="none"/>
          <w:lang w:val="en-US" w:eastAsia="zh-CN"/>
        </w:rPr>
        <w:t xml:space="preserve">           </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4"/>
          <w:szCs w:val="24"/>
          <w:highlight w:val="none"/>
          <w:lang w:val="en-US" w:eastAsia="zh-CN"/>
        </w:rPr>
        <w:t xml:space="preserve">  </w:t>
      </w:r>
      <w:r>
        <w:rPr>
          <w:rFonts w:hint="eastAsia" w:ascii="仿宋" w:hAnsi="仿宋" w:eastAsia="仿宋" w:cs="仿宋"/>
          <w:spacing w:val="0"/>
          <w:sz w:val="24"/>
          <w:szCs w:val="24"/>
          <w:highlight w:val="none"/>
          <w:lang w:eastAsia="zh-CN"/>
        </w:rPr>
        <w:t>联系电话：</w:t>
      </w:r>
    </w:p>
    <w:p w14:paraId="57834D43">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开户行：</w:t>
      </w:r>
      <w:r>
        <w:rPr>
          <w:rFonts w:hint="eastAsia" w:ascii="仿宋" w:hAnsi="仿宋" w:eastAsia="仿宋" w:cs="仿宋"/>
          <w:spacing w:val="0"/>
          <w:sz w:val="28"/>
          <w:szCs w:val="28"/>
          <w:highlight w:val="none"/>
          <w:lang w:eastAsia="zh-CN"/>
        </w:rPr>
        <w:t>工行江阳南路支行</w:t>
      </w:r>
      <w:r>
        <w:rPr>
          <w:rFonts w:hint="eastAsia" w:ascii="仿宋" w:hAnsi="仿宋" w:eastAsia="仿宋" w:cs="仿宋"/>
          <w:spacing w:val="0"/>
          <w:sz w:val="28"/>
          <w:szCs w:val="28"/>
          <w:highlight w:val="none"/>
        </w:rPr>
        <w:t xml:space="preserve">        开户行：</w:t>
      </w:r>
    </w:p>
    <w:p w14:paraId="2938E439">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账号：</w:t>
      </w:r>
      <w:r>
        <w:rPr>
          <w:rFonts w:hint="eastAsia" w:ascii="仿宋" w:hAnsi="仿宋" w:eastAsia="仿宋" w:cs="仿宋"/>
          <w:color w:val="000000"/>
          <w:spacing w:val="0"/>
          <w:sz w:val="28"/>
          <w:szCs w:val="28"/>
          <w:highlight w:val="none"/>
        </w:rPr>
        <w:t>2304343409201043588</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rPr>
        <w:t>账号</w:t>
      </w:r>
      <w:r>
        <w:rPr>
          <w:rFonts w:hint="eastAsia" w:ascii="仿宋" w:hAnsi="仿宋" w:eastAsia="仿宋" w:cs="仿宋"/>
          <w:spacing w:val="0"/>
          <w:sz w:val="28"/>
          <w:szCs w:val="28"/>
          <w:highlight w:val="none"/>
          <w:lang w:eastAsia="zh-CN"/>
        </w:rPr>
        <w:t>：</w:t>
      </w:r>
      <w:r>
        <w:rPr>
          <w:rFonts w:hint="eastAsia" w:ascii="仿宋" w:hAnsi="仿宋" w:eastAsia="仿宋" w:cs="仿宋"/>
          <w:spacing w:val="0"/>
          <w:sz w:val="28"/>
          <w:szCs w:val="28"/>
          <w:highlight w:val="none"/>
        </w:rPr>
        <w:t xml:space="preserve">                           </w:t>
      </w:r>
    </w:p>
    <w:p w14:paraId="43DBFB24">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税号：</w:t>
      </w:r>
      <w:r>
        <w:rPr>
          <w:rFonts w:hint="eastAsia" w:ascii="仿宋" w:hAnsi="仿宋" w:eastAsia="仿宋" w:cs="仿宋"/>
          <w:spacing w:val="0"/>
          <w:sz w:val="28"/>
          <w:szCs w:val="28"/>
          <w:highlight w:val="none"/>
          <w:u w:val="none"/>
        </w:rPr>
        <w:t xml:space="preserve">915105003562702475 </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rPr>
        <w:t>税号：</w:t>
      </w:r>
    </w:p>
    <w:p w14:paraId="000CAD61">
      <w:pPr>
        <w:keepNext w:val="0"/>
        <w:keepLines w:val="0"/>
        <w:pageBreakBefore w:val="0"/>
        <w:widowControl w:val="0"/>
        <w:kinsoku/>
        <w:wordWrap/>
        <w:overflowPunct/>
        <w:topLinePunct w:val="0"/>
        <w:autoSpaceDE/>
        <w:autoSpaceDN/>
        <w:bidi w:val="0"/>
        <w:adjustRightInd/>
        <w:snapToGrid/>
        <w:spacing w:line="580" w:lineRule="exact"/>
        <w:ind w:left="5599" w:leftChars="133" w:hanging="5320" w:hangingChars="1900"/>
        <w:textAlignment w:val="auto"/>
        <w:rPr>
          <w:rFonts w:hint="eastAsia"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地址：</w:t>
      </w:r>
      <w:r>
        <w:rPr>
          <w:rFonts w:hint="eastAsia" w:ascii="仿宋" w:hAnsi="仿宋" w:eastAsia="仿宋" w:cs="仿宋"/>
          <w:spacing w:val="0"/>
          <w:sz w:val="28"/>
          <w:szCs w:val="28"/>
          <w:highlight w:val="none"/>
          <w:lang w:eastAsia="zh-CN"/>
        </w:rPr>
        <w:t>泸州市江阳区龙腾路</w:t>
      </w:r>
      <w:r>
        <w:rPr>
          <w:rFonts w:hint="eastAsia" w:ascii="仿宋" w:hAnsi="仿宋" w:eastAsia="仿宋" w:cs="仿宋"/>
          <w:spacing w:val="0"/>
          <w:sz w:val="28"/>
          <w:szCs w:val="28"/>
          <w:highlight w:val="none"/>
          <w:lang w:val="en-US" w:eastAsia="zh-CN"/>
        </w:rPr>
        <w:t>10号</w:t>
      </w:r>
      <w:r>
        <w:rPr>
          <w:rFonts w:hint="eastAsia" w:ascii="仿宋" w:hAnsi="仿宋" w:eastAsia="仿宋" w:cs="仿宋"/>
          <w:spacing w:val="0"/>
          <w:sz w:val="28"/>
          <w:szCs w:val="28"/>
          <w:highlight w:val="none"/>
        </w:rPr>
        <w:t xml:space="preserve">   地址：</w:t>
      </w:r>
    </w:p>
    <w:p w14:paraId="26137BBD">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仿宋" w:hAnsi="仿宋" w:eastAsia="仿宋" w:cs="仿宋"/>
          <w:spacing w:val="0"/>
          <w:sz w:val="28"/>
          <w:szCs w:val="28"/>
          <w:highlight w:val="none"/>
          <w:u w:val="single"/>
          <w:lang w:val="en-US" w:eastAsia="zh-CN"/>
        </w:rPr>
      </w:pPr>
      <w:r>
        <w:rPr>
          <w:rFonts w:hint="eastAsia" w:ascii="仿宋" w:hAnsi="仿宋" w:eastAsia="仿宋" w:cs="仿宋"/>
          <w:spacing w:val="0"/>
          <w:sz w:val="28"/>
          <w:szCs w:val="28"/>
          <w:highlight w:val="none"/>
        </w:rPr>
        <w:t>传真：</w:t>
      </w:r>
      <w:r>
        <w:rPr>
          <w:rFonts w:hint="eastAsia" w:ascii="仿宋" w:hAnsi="仿宋" w:eastAsia="仿宋" w:cs="仿宋"/>
          <w:spacing w:val="0"/>
          <w:sz w:val="28"/>
          <w:szCs w:val="28"/>
          <w:highlight w:val="none"/>
          <w:lang w:val="en-US" w:eastAsia="zh-CN"/>
        </w:rPr>
        <w:t xml:space="preserve">0830-2580322  </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rPr>
        <w:t>传真：</w:t>
      </w:r>
      <w:r>
        <w:rPr>
          <w:rFonts w:hint="eastAsia" w:ascii="仿宋" w:hAnsi="仿宋" w:eastAsia="仿宋" w:cs="仿宋"/>
          <w:spacing w:val="0"/>
          <w:sz w:val="28"/>
          <w:szCs w:val="28"/>
          <w:highlight w:val="none"/>
          <w:u w:val="single"/>
          <w:lang w:val="en-US" w:eastAsia="zh-CN"/>
        </w:rPr>
        <w:t xml:space="preserve">             </w:t>
      </w:r>
    </w:p>
    <w:p w14:paraId="14F5BA2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pacing w:val="0"/>
          <w:sz w:val="28"/>
          <w:szCs w:val="28"/>
          <w:highlight w:val="none"/>
          <w:lang w:val="en-US" w:eastAsia="zh-CN"/>
        </w:rPr>
        <w:sectPr>
          <w:pgSz w:w="11906" w:h="16838"/>
          <w:pgMar w:top="1440" w:right="1080" w:bottom="1440" w:left="1080" w:header="851" w:footer="992" w:gutter="0"/>
          <w:cols w:space="720" w:num="1"/>
          <w:docGrid w:type="lines" w:linePitch="312" w:charSpace="0"/>
        </w:sectPr>
      </w:pP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lang w:eastAsia="zh-CN"/>
        </w:rPr>
        <w:t>时间：</w:t>
      </w:r>
      <w:r>
        <w:rPr>
          <w:rFonts w:hint="eastAsia" w:ascii="仿宋" w:hAnsi="仿宋" w:eastAsia="仿宋" w:cs="仿宋"/>
          <w:spacing w:val="0"/>
          <w:sz w:val="28"/>
          <w:szCs w:val="28"/>
          <w:highlight w:val="none"/>
          <w:lang w:val="en-US" w:eastAsia="zh-CN"/>
        </w:rPr>
        <w:t xml:space="preserve">  年  月  日</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lang w:eastAsia="zh-CN"/>
        </w:rPr>
        <w:t>时间：</w:t>
      </w:r>
      <w:r>
        <w:rPr>
          <w:rFonts w:hint="eastAsia" w:ascii="仿宋" w:hAnsi="仿宋" w:eastAsia="仿宋" w:cs="仿宋"/>
          <w:spacing w:val="0"/>
          <w:sz w:val="28"/>
          <w:szCs w:val="28"/>
          <w:highlight w:val="none"/>
          <w:lang w:val="en-US" w:eastAsia="zh-CN"/>
        </w:rPr>
        <w:t xml:space="preserve">  年  月  日</w:t>
      </w:r>
    </w:p>
    <w:p w14:paraId="787B039D">
      <w:pPr>
        <w:spacing w:line="480" w:lineRule="auto"/>
        <w:jc w:val="left"/>
        <w:rPr>
          <w:rFonts w:hint="eastAsia" w:ascii="仿宋" w:hAnsi="仿宋" w:eastAsia="仿宋" w:cs="仿宋"/>
          <w:b/>
          <w:bCs/>
          <w:spacing w:val="0"/>
          <w:sz w:val="28"/>
          <w:szCs w:val="28"/>
          <w:highlight w:val="none"/>
          <w:lang w:val="en-US" w:eastAsia="zh-CN"/>
        </w:rPr>
      </w:pPr>
      <w:r>
        <w:rPr>
          <w:rFonts w:hint="eastAsia" w:ascii="仿宋" w:hAnsi="仿宋" w:eastAsia="仿宋" w:cs="仿宋"/>
          <w:b/>
          <w:bCs/>
          <w:spacing w:val="0"/>
          <w:sz w:val="28"/>
          <w:szCs w:val="28"/>
          <w:highlight w:val="none"/>
          <w:lang w:val="en-US" w:eastAsia="zh-CN"/>
        </w:rPr>
        <w:t>附件一：</w:t>
      </w:r>
    </w:p>
    <w:p w14:paraId="2EC1DB84">
      <w:pPr>
        <w:spacing w:line="480" w:lineRule="auto"/>
        <w:ind w:firstLine="4779" w:firstLineChars="1700"/>
        <w:jc w:val="left"/>
        <w:rPr>
          <w:rFonts w:hint="eastAsia" w:ascii="仿宋" w:hAnsi="仿宋" w:eastAsia="仿宋" w:cs="仿宋"/>
          <w:b/>
          <w:bCs/>
          <w:sz w:val="28"/>
          <w:szCs w:val="28"/>
          <w:highlight w:val="none"/>
          <w:u w:val="none"/>
        </w:rPr>
      </w:pP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none"/>
        </w:rPr>
        <w:t>工程苗木采购价格确认表</w:t>
      </w:r>
    </w:p>
    <w:p w14:paraId="497245EC">
      <w:pPr>
        <w:bidi w:val="0"/>
        <w:rPr>
          <w:rFonts w:hint="eastAsia" w:ascii="仿宋" w:hAnsi="仿宋" w:eastAsia="仿宋" w:cs="仿宋"/>
          <w:kern w:val="2"/>
          <w:sz w:val="21"/>
          <w:szCs w:val="24"/>
          <w:lang w:val="en-US" w:eastAsia="zh-CN" w:bidi="ar-SA"/>
        </w:rPr>
      </w:pPr>
    </w:p>
    <w:p w14:paraId="14E8382D">
      <w:pPr>
        <w:bidi w:val="0"/>
        <w:rPr>
          <w:rFonts w:hint="eastAsia" w:ascii="仿宋" w:hAnsi="仿宋" w:eastAsia="仿宋" w:cs="仿宋"/>
          <w:lang w:val="en-US" w:eastAsia="zh-CN"/>
        </w:rPr>
      </w:pPr>
    </w:p>
    <w:p w14:paraId="70B7A79A">
      <w:pPr>
        <w:bidi w:val="0"/>
        <w:rPr>
          <w:rFonts w:hint="eastAsia" w:ascii="仿宋" w:hAnsi="仿宋" w:eastAsia="仿宋" w:cs="仿宋"/>
          <w:lang w:val="en-US" w:eastAsia="zh-CN"/>
        </w:rPr>
      </w:pPr>
    </w:p>
    <w:p w14:paraId="1CA03785">
      <w:pPr>
        <w:bidi w:val="0"/>
        <w:rPr>
          <w:rFonts w:hint="eastAsia" w:ascii="仿宋" w:hAnsi="仿宋" w:eastAsia="仿宋" w:cs="仿宋"/>
          <w:lang w:val="en-US" w:eastAsia="zh-CN"/>
        </w:rPr>
      </w:pPr>
    </w:p>
    <w:p w14:paraId="3E67BDFD">
      <w:pPr>
        <w:bidi w:val="0"/>
        <w:rPr>
          <w:rFonts w:hint="eastAsia" w:ascii="仿宋" w:hAnsi="仿宋" w:eastAsia="仿宋" w:cs="仿宋"/>
          <w:lang w:val="en-US" w:eastAsia="zh-CN"/>
        </w:rPr>
      </w:pPr>
    </w:p>
    <w:p w14:paraId="4289C9C5">
      <w:pPr>
        <w:bidi w:val="0"/>
        <w:rPr>
          <w:rFonts w:hint="eastAsia" w:ascii="仿宋" w:hAnsi="仿宋" w:eastAsia="仿宋" w:cs="仿宋"/>
          <w:lang w:val="en-US" w:eastAsia="zh-CN"/>
        </w:rPr>
      </w:pPr>
    </w:p>
    <w:p w14:paraId="5F3FC755">
      <w:pPr>
        <w:bidi w:val="0"/>
        <w:rPr>
          <w:rFonts w:hint="eastAsia" w:ascii="仿宋" w:hAnsi="仿宋" w:eastAsia="仿宋" w:cs="仿宋"/>
          <w:lang w:val="en-US" w:eastAsia="zh-CN"/>
        </w:rPr>
      </w:pPr>
    </w:p>
    <w:p w14:paraId="28125D07">
      <w:pPr>
        <w:bidi w:val="0"/>
        <w:rPr>
          <w:rFonts w:hint="eastAsia" w:ascii="仿宋" w:hAnsi="仿宋" w:eastAsia="仿宋" w:cs="仿宋"/>
          <w:lang w:val="en-US" w:eastAsia="zh-CN"/>
        </w:rPr>
      </w:pPr>
    </w:p>
    <w:p w14:paraId="36E825EA">
      <w:pPr>
        <w:bidi w:val="0"/>
        <w:rPr>
          <w:rFonts w:hint="eastAsia" w:ascii="仿宋" w:hAnsi="仿宋" w:eastAsia="仿宋" w:cs="仿宋"/>
          <w:lang w:val="en-US" w:eastAsia="zh-CN"/>
        </w:rPr>
      </w:pPr>
    </w:p>
    <w:p w14:paraId="26D822E4">
      <w:pPr>
        <w:bidi w:val="0"/>
        <w:rPr>
          <w:rFonts w:hint="eastAsia" w:ascii="仿宋" w:hAnsi="仿宋" w:eastAsia="仿宋" w:cs="仿宋"/>
          <w:lang w:val="en-US" w:eastAsia="zh-CN"/>
        </w:rPr>
      </w:pPr>
    </w:p>
    <w:p w14:paraId="3025AF86">
      <w:pPr>
        <w:bidi w:val="0"/>
        <w:rPr>
          <w:rFonts w:hint="eastAsia" w:ascii="仿宋" w:hAnsi="仿宋" w:eastAsia="仿宋" w:cs="仿宋"/>
          <w:lang w:val="en-US" w:eastAsia="zh-CN"/>
        </w:rPr>
      </w:pPr>
    </w:p>
    <w:p w14:paraId="044F939C">
      <w:pPr>
        <w:bidi w:val="0"/>
        <w:rPr>
          <w:rFonts w:hint="eastAsia" w:ascii="仿宋" w:hAnsi="仿宋" w:eastAsia="仿宋" w:cs="仿宋"/>
          <w:lang w:val="en-US" w:eastAsia="zh-CN"/>
        </w:rPr>
      </w:pPr>
    </w:p>
    <w:p w14:paraId="6CBB5383">
      <w:pPr>
        <w:bidi w:val="0"/>
        <w:rPr>
          <w:rFonts w:hint="eastAsia" w:ascii="仿宋" w:hAnsi="仿宋" w:eastAsia="仿宋" w:cs="仿宋"/>
          <w:lang w:val="en-US" w:eastAsia="zh-CN"/>
        </w:rPr>
      </w:pPr>
    </w:p>
    <w:p w14:paraId="5B4FD784">
      <w:pPr>
        <w:snapToGrid w:val="0"/>
        <w:spacing w:line="360" w:lineRule="auto"/>
        <w:ind w:firstLine="1446" w:firstLineChars="600"/>
        <w:jc w:val="left"/>
        <w:rPr>
          <w:rFonts w:hint="eastAsia" w:ascii="仿宋" w:hAnsi="仿宋" w:eastAsia="仿宋" w:cs="仿宋"/>
          <w:b/>
          <w:bCs/>
          <w:color w:val="auto"/>
          <w:sz w:val="24"/>
          <w:highlight w:val="none"/>
          <w:u w:val="single"/>
          <w:lang w:val="en-US" w:eastAsia="zh-CN"/>
        </w:rPr>
      </w:pPr>
      <w:r>
        <w:rPr>
          <w:rFonts w:hint="eastAsia" w:ascii="仿宋" w:hAnsi="仿宋" w:eastAsia="仿宋" w:cs="仿宋"/>
          <w:b/>
          <w:bCs/>
          <w:color w:val="auto"/>
          <w:sz w:val="24"/>
          <w:highlight w:val="none"/>
        </w:rPr>
        <w:t>甲方（</w:t>
      </w:r>
      <w:r>
        <w:rPr>
          <w:rFonts w:hint="eastAsia" w:ascii="仿宋" w:hAnsi="仿宋" w:eastAsia="仿宋" w:cs="仿宋"/>
          <w:b/>
          <w:bCs/>
          <w:color w:val="auto"/>
          <w:sz w:val="24"/>
          <w:highlight w:val="none"/>
          <w:lang w:eastAsia="zh-CN"/>
        </w:rPr>
        <w:t>盖章</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u w:val="single"/>
          <w:lang w:val="en-US" w:eastAsia="zh-CN"/>
        </w:rPr>
        <w:t xml:space="preserve">                   </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u w:val="single"/>
          <w:lang w:val="en-US" w:eastAsia="zh-CN"/>
        </w:rPr>
        <w:t xml:space="preserve">    </w:t>
      </w:r>
      <w:r>
        <w:rPr>
          <w:rFonts w:hint="eastAsia" w:ascii="仿宋" w:hAnsi="仿宋" w:eastAsia="仿宋" w:cs="仿宋"/>
          <w:b/>
          <w:bCs/>
          <w:color w:val="auto"/>
          <w:sz w:val="24"/>
          <w:highlight w:val="none"/>
          <w:u w:val="none"/>
          <w:lang w:val="en-US" w:eastAsia="zh-CN"/>
        </w:rPr>
        <w:t xml:space="preserve">                      </w:t>
      </w:r>
      <w:r>
        <w:rPr>
          <w:rFonts w:hint="eastAsia" w:ascii="仿宋" w:hAnsi="仿宋" w:eastAsia="仿宋" w:cs="仿宋"/>
          <w:b/>
          <w:bCs/>
          <w:color w:val="auto"/>
          <w:sz w:val="24"/>
          <w:highlight w:val="none"/>
        </w:rPr>
        <w:t>乙方（</w:t>
      </w:r>
      <w:r>
        <w:rPr>
          <w:rFonts w:hint="eastAsia" w:ascii="仿宋" w:hAnsi="仿宋" w:eastAsia="仿宋" w:cs="仿宋"/>
          <w:b/>
          <w:bCs/>
          <w:color w:val="auto"/>
          <w:sz w:val="24"/>
          <w:highlight w:val="none"/>
          <w:lang w:eastAsia="zh-CN"/>
        </w:rPr>
        <w:t>盖章</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u w:val="single"/>
          <w:lang w:val="en-US" w:eastAsia="zh-CN"/>
        </w:rPr>
        <w:t xml:space="preserve">                            </w:t>
      </w:r>
    </w:p>
    <w:p w14:paraId="02BE7A0D">
      <w:pPr>
        <w:snapToGrid w:val="0"/>
        <w:spacing w:line="360" w:lineRule="auto"/>
        <w:jc w:val="left"/>
        <w:rPr>
          <w:rFonts w:hint="eastAsia" w:ascii="仿宋" w:hAnsi="仿宋" w:eastAsia="仿宋" w:cs="仿宋"/>
          <w:b/>
          <w:bCs/>
          <w:color w:val="auto"/>
          <w:sz w:val="24"/>
          <w:highlight w:val="none"/>
          <w:u w:val="single"/>
          <w:lang w:val="en-US" w:eastAsia="zh-CN"/>
        </w:rPr>
      </w:pPr>
    </w:p>
    <w:p w14:paraId="7791B9ED">
      <w:pPr>
        <w:keepNext w:val="0"/>
        <w:keepLines w:val="0"/>
        <w:pageBreakBefore w:val="0"/>
        <w:widowControl w:val="0"/>
        <w:kinsoku/>
        <w:wordWrap/>
        <w:overflowPunct/>
        <w:topLinePunct w:val="0"/>
        <w:autoSpaceDE/>
        <w:autoSpaceDN/>
        <w:bidi w:val="0"/>
        <w:adjustRightInd/>
        <w:snapToGrid/>
        <w:spacing w:line="580" w:lineRule="exact"/>
        <w:ind w:firstLine="1400" w:firstLineChars="500"/>
        <w:textAlignment w:val="auto"/>
        <w:rPr>
          <w:rFonts w:hint="eastAsia" w:ascii="仿宋" w:hAnsi="仿宋" w:eastAsia="仿宋" w:cs="仿宋"/>
          <w:lang w:val="en-US" w:eastAsia="zh-CN"/>
        </w:rPr>
        <w:sectPr>
          <w:pgSz w:w="16838" w:h="11906" w:orient="landscape"/>
          <w:pgMar w:top="1440" w:right="1080" w:bottom="1440" w:left="1080" w:header="851" w:footer="992" w:gutter="0"/>
          <w:cols w:space="720" w:num="1"/>
          <w:docGrid w:type="lines" w:linePitch="312" w:charSpace="0"/>
        </w:sectPr>
      </w:pPr>
      <w:r>
        <w:rPr>
          <w:rFonts w:hint="eastAsia" w:ascii="仿宋" w:hAnsi="仿宋" w:eastAsia="仿宋" w:cs="仿宋"/>
          <w:spacing w:val="0"/>
          <w:sz w:val="28"/>
          <w:szCs w:val="28"/>
          <w:highlight w:val="none"/>
          <w:lang w:eastAsia="zh-CN"/>
        </w:rPr>
        <w:t>时间：</w:t>
      </w:r>
      <w:r>
        <w:rPr>
          <w:rFonts w:hint="eastAsia" w:ascii="仿宋" w:hAnsi="仿宋" w:eastAsia="仿宋" w:cs="仿宋"/>
          <w:spacing w:val="0"/>
          <w:sz w:val="28"/>
          <w:szCs w:val="28"/>
          <w:highlight w:val="none"/>
          <w:lang w:val="en-US" w:eastAsia="zh-CN"/>
        </w:rPr>
        <w:t xml:space="preserve">  年  月  日</w:t>
      </w:r>
      <w:r>
        <w:rPr>
          <w:rFonts w:hint="eastAsia" w:ascii="仿宋" w:hAnsi="仿宋" w:eastAsia="仿宋" w:cs="仿宋"/>
          <w:spacing w:val="0"/>
          <w:sz w:val="28"/>
          <w:szCs w:val="28"/>
          <w:highlight w:val="none"/>
        </w:rPr>
        <w:t xml:space="preserve">        </w:t>
      </w:r>
      <w:r>
        <w:rPr>
          <w:rFonts w:hint="eastAsia" w:ascii="仿宋" w:hAnsi="仿宋" w:eastAsia="仿宋" w:cs="仿宋"/>
          <w:spacing w:val="0"/>
          <w:sz w:val="28"/>
          <w:szCs w:val="28"/>
          <w:highlight w:val="none"/>
          <w:lang w:val="en-US" w:eastAsia="zh-CN"/>
        </w:rPr>
        <w:t xml:space="preserve">                          </w:t>
      </w:r>
      <w:r>
        <w:rPr>
          <w:rFonts w:hint="eastAsia" w:ascii="仿宋" w:hAnsi="仿宋" w:eastAsia="仿宋" w:cs="仿宋"/>
          <w:spacing w:val="0"/>
          <w:sz w:val="28"/>
          <w:szCs w:val="28"/>
          <w:highlight w:val="none"/>
          <w:lang w:eastAsia="zh-CN"/>
        </w:rPr>
        <w:t>时间：</w:t>
      </w:r>
      <w:r>
        <w:rPr>
          <w:rFonts w:hint="eastAsia" w:ascii="仿宋" w:hAnsi="仿宋" w:eastAsia="仿宋" w:cs="仿宋"/>
          <w:spacing w:val="0"/>
          <w:sz w:val="28"/>
          <w:szCs w:val="28"/>
          <w:highlight w:val="none"/>
          <w:lang w:val="en-US" w:eastAsia="zh-CN"/>
        </w:rPr>
        <w:t xml:space="preserve">  年  月  日</w:t>
      </w:r>
    </w:p>
    <w:p w14:paraId="54C37EF7">
      <w:pPr>
        <w:snapToGrid w:val="0"/>
        <w:spacing w:line="360" w:lineRule="auto"/>
        <w:jc w:val="left"/>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rPr>
        <w:t>附件二</w:t>
      </w:r>
      <w:r>
        <w:rPr>
          <w:rFonts w:hint="eastAsia" w:ascii="仿宋" w:hAnsi="仿宋" w:eastAsia="仿宋" w:cs="仿宋"/>
          <w:b/>
          <w:bCs/>
          <w:sz w:val="28"/>
          <w:szCs w:val="28"/>
          <w:highlight w:val="none"/>
          <w:lang w:eastAsia="zh-CN"/>
        </w:rPr>
        <w:t>：</w:t>
      </w:r>
    </w:p>
    <w:p w14:paraId="3E36C27F">
      <w:pPr>
        <w:snapToGrid w:val="0"/>
        <w:spacing w:line="360" w:lineRule="auto"/>
        <w:jc w:val="center"/>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廉</w:t>
      </w:r>
      <w:r>
        <w:rPr>
          <w:rFonts w:hint="eastAsia" w:ascii="仿宋" w:hAnsi="仿宋" w:eastAsia="仿宋" w:cs="仿宋"/>
          <w:b/>
          <w:color w:val="auto"/>
          <w:sz w:val="32"/>
          <w:szCs w:val="32"/>
          <w:highlight w:val="none"/>
          <w:lang w:eastAsia="zh-CN"/>
        </w:rPr>
        <w:t>洁协议</w:t>
      </w:r>
    </w:p>
    <w:p w14:paraId="5FC3B59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协议单位</w:t>
      </w:r>
    </w:p>
    <w:p w14:paraId="18867324">
      <w:pPr>
        <w:snapToGrid w:val="0"/>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甲方（全称）：</w:t>
      </w:r>
      <w:r>
        <w:rPr>
          <w:rFonts w:hint="eastAsia" w:ascii="仿宋" w:hAnsi="仿宋" w:eastAsia="仿宋" w:cs="仿宋"/>
          <w:b/>
          <w:bCs/>
          <w:color w:val="auto"/>
          <w:sz w:val="24"/>
          <w:highlight w:val="none"/>
          <w:u w:val="single"/>
          <w:lang w:val="en-US" w:eastAsia="zh-CN"/>
        </w:rPr>
        <w:t xml:space="preserve">                   </w:t>
      </w:r>
      <w:r>
        <w:rPr>
          <w:rFonts w:hint="eastAsia" w:ascii="仿宋" w:hAnsi="仿宋" w:eastAsia="仿宋" w:cs="仿宋"/>
          <w:b/>
          <w:bCs/>
          <w:color w:val="auto"/>
          <w:sz w:val="24"/>
          <w:highlight w:val="none"/>
          <w:u w:val="single"/>
        </w:rPr>
        <w:t xml:space="preserve"> </w:t>
      </w:r>
    </w:p>
    <w:p w14:paraId="0AD2D718">
      <w:pPr>
        <w:snapToGrid w:val="0"/>
        <w:spacing w:line="360" w:lineRule="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rPr>
        <w:t>乙方（全称）：</w:t>
      </w:r>
      <w:r>
        <w:rPr>
          <w:rFonts w:hint="eastAsia" w:ascii="仿宋" w:hAnsi="仿宋" w:eastAsia="仿宋" w:cs="仿宋"/>
          <w:b/>
          <w:bCs/>
          <w:color w:val="auto"/>
          <w:sz w:val="24"/>
          <w:highlight w:val="none"/>
          <w:u w:val="single"/>
          <w:lang w:val="en-US" w:eastAsia="zh-CN"/>
        </w:rPr>
        <w:t xml:space="preserve">                    </w:t>
      </w:r>
    </w:p>
    <w:p w14:paraId="3CBCCC61">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鉴于甲乙双方拟就“</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合同</w:t>
      </w:r>
      <w:r>
        <w:rPr>
          <w:rFonts w:hint="eastAsia" w:ascii="仿宋" w:hAnsi="仿宋" w:eastAsia="仿宋" w:cs="仿宋"/>
          <w:color w:val="auto"/>
          <w:sz w:val="24"/>
          <w:highlight w:val="none"/>
        </w:rPr>
        <w:t>编号：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）开展合作，并于</w:t>
      </w:r>
      <w:r>
        <w:rPr>
          <w:rFonts w:hint="eastAsia" w:ascii="仿宋" w:hAnsi="仿宋" w:eastAsia="仿宋" w:cs="仿宋"/>
          <w:color w:val="auto"/>
          <w:sz w:val="24"/>
          <w:highlight w:val="none"/>
          <w:u w:val="single"/>
          <w:lang w:val="en-US" w:eastAsia="zh-CN"/>
        </w:rPr>
        <w:t xml:space="preserve">   年  月  日</w:t>
      </w:r>
      <w:r>
        <w:rPr>
          <w:rFonts w:hint="eastAsia" w:ascii="仿宋" w:hAnsi="仿宋" w:eastAsia="仿宋" w:cs="仿宋"/>
          <w:color w:val="auto"/>
          <w:sz w:val="24"/>
          <w:highlight w:val="none"/>
        </w:rPr>
        <w:t>签订了《</w:t>
      </w:r>
      <w:r>
        <w:rPr>
          <w:rFonts w:hint="eastAsia" w:ascii="仿宋" w:hAnsi="仿宋" w:eastAsia="仿宋" w:cs="仿宋"/>
          <w:color w:val="auto"/>
          <w:sz w:val="24"/>
          <w:highlight w:val="none"/>
          <w:u w:val="single"/>
          <w:lang w:val="en-US" w:eastAsia="zh-CN"/>
        </w:rPr>
        <w:t xml:space="preserve">                协议书</w:t>
      </w:r>
      <w:r>
        <w:rPr>
          <w:rFonts w:hint="eastAsia" w:ascii="仿宋" w:hAnsi="仿宋" w:eastAsia="仿宋" w:cs="仿宋"/>
          <w:color w:val="auto"/>
          <w:sz w:val="24"/>
          <w:highlight w:val="none"/>
        </w:rPr>
        <w:t>》（下称“主合同”）。为深入贯彻国家关于全面从严治党的方针政策和法律法规，维护公平公正的市场秩序，防止商业贿赂和不正当竞争行为，保障项目廉洁、规范、高效实施，保护双方合法权益，甲乙双方经平等协商，依据《中华人民共和国反不正当竞争法》《中华人民共和国监察法》等相关规定，特订立本廉洁协议，共同遵守：</w:t>
      </w:r>
    </w:p>
    <w:p w14:paraId="7C49EB9D">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一、乙方保证，其本身及其工作人员、关联方、分包商或供应商均不得：</w:t>
      </w:r>
    </w:p>
    <w:p w14:paraId="79DBCDE9">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向甲方工作人员及其亲属、特定关系人直接或间接给付、承诺、授权或输送任何形式的不正当利益，以换取任何商业机会、合同签订、价款支付、验收通过或其他优惠条件；</w:t>
      </w:r>
    </w:p>
    <w:p w14:paraId="0D105175">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为甲方工作人员及其亲属、特定关系人安排本协议禁止的活动或支付、报销私人费用；</w:t>
      </w:r>
    </w:p>
    <w:p w14:paraId="32702266">
      <w:pPr>
        <w:snapToGrid w:val="0"/>
        <w:spacing w:line="360" w:lineRule="auto"/>
        <w:ind w:left="239" w:leftChars="114" w:firstLine="307" w:firstLineChars="128"/>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通过串通投标、弄虚作假、伪造资质等任何不正当竞争手段参与甲方项目。</w:t>
      </w:r>
      <w:r>
        <w:rPr>
          <w:rFonts w:hint="eastAsia" w:ascii="仿宋" w:hAnsi="仿宋" w:eastAsia="仿宋" w:cs="仿宋"/>
          <w:color w:val="auto"/>
          <w:sz w:val="24"/>
          <w:highlight w:val="none"/>
          <w:lang w:val="en-US" w:eastAsia="zh-CN"/>
        </w:rPr>
        <w:t xml:space="preserve"> </w:t>
      </w:r>
    </w:p>
    <w:p w14:paraId="415BAC96">
      <w:pPr>
        <w:snapToGrid w:val="0"/>
        <w:spacing w:line="360" w:lineRule="auto"/>
        <w:ind w:left="239" w:leftChars="114" w:firstLine="307" w:firstLineChars="128"/>
        <w:rPr>
          <w:rFonts w:hint="eastAsia" w:ascii="仿宋" w:hAnsi="仿宋" w:eastAsia="仿宋" w:cs="仿宋"/>
          <w:color w:val="auto"/>
          <w:sz w:val="24"/>
          <w:highlight w:val="none"/>
        </w:rPr>
      </w:pPr>
      <w:r>
        <w:rPr>
          <w:rFonts w:hint="eastAsia" w:ascii="仿宋" w:hAnsi="仿宋" w:eastAsia="仿宋" w:cs="仿宋"/>
          <w:color w:val="auto"/>
          <w:sz w:val="24"/>
          <w:highlight w:val="none"/>
        </w:rPr>
        <w:t>如有违反，将视情节轻重对甲方人员给予批评、教育、罚款直至法律处分，对乙方给予扣减工程款3%-5%，直至终止合同</w:t>
      </w:r>
    </w:p>
    <w:p w14:paraId="4BFD51B6">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rPr>
        <w:t>乙方有义务对其员工和分包商进行廉洁教育，并对其违反本协议的行为承担连带责任。</w:t>
      </w:r>
    </w:p>
    <w:p w14:paraId="47863644">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、乙方在工程项目建设中有贿赂甲方人员，被纪检、监察、检察机关立案查处的，甲方有权终止工程项目施工合同，由此造成的一切损失均由乙方承担，并负责由此发生的一切费用（在工程款中扣除）。</w:t>
      </w:r>
    </w:p>
    <w:p w14:paraId="70D476C4">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四</w:t>
      </w:r>
      <w:r>
        <w:rPr>
          <w:rFonts w:hint="eastAsia" w:ascii="仿宋" w:hAnsi="仿宋" w:eastAsia="仿宋" w:cs="仿宋"/>
          <w:color w:val="auto"/>
          <w:sz w:val="24"/>
          <w:highlight w:val="none"/>
        </w:rPr>
        <w:t>、甲方工作人员在业务往来中应恪守以下纪律：</w:t>
      </w:r>
    </w:p>
    <w:p w14:paraId="26A2E8E3">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不得索取、收受或变相收受乙方及其关联方给予的任何形式的贿赂或利益输送，包括但不限于现金、礼品、有价证券、支付凭证、佣金、回扣等；</w:t>
      </w:r>
    </w:p>
    <w:p w14:paraId="3FD895B8">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不得接受可能影响公正执行公务的宴请、旅游、健身、娱乐等活动安排；</w:t>
      </w:r>
    </w:p>
    <w:p w14:paraId="3A49D521">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不得要求、暗示或接受乙方为其个人或特定关系人支付或报销任何费用；</w:t>
      </w:r>
    </w:p>
    <w:p w14:paraId="1613F573">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不得向乙方泄露招标标底、评审委员会成员信息、商业秘密等内部敏感信息；</w:t>
      </w:r>
    </w:p>
    <w:p w14:paraId="2F43AF4C">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不得利用职权或职务影响，为乙方或特定关系人谋取不正当利益或干预项目的正常进行。</w:t>
      </w:r>
    </w:p>
    <w:p w14:paraId="214907BD">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五、</w:t>
      </w:r>
      <w:r>
        <w:rPr>
          <w:rFonts w:hint="eastAsia" w:ascii="仿宋" w:hAnsi="仿宋" w:eastAsia="仿宋" w:cs="仿宋"/>
          <w:color w:val="auto"/>
          <w:sz w:val="24"/>
          <w:highlight w:val="none"/>
        </w:rPr>
        <w:t>甲方有权对乙方履行本协议的情况进行监督、检查和审计。甲方纪检监察、审计、法律等部门有权就廉洁事项约谈乙方相关人员、查阅相关资料，乙方应予以配合。</w:t>
      </w:r>
    </w:p>
    <w:p w14:paraId="6BF2A4C0">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甲乙</w:t>
      </w:r>
      <w:r>
        <w:rPr>
          <w:rFonts w:hint="eastAsia" w:ascii="仿宋" w:hAnsi="仿宋" w:eastAsia="仿宋" w:cs="仿宋"/>
          <w:color w:val="auto"/>
          <w:sz w:val="24"/>
          <w:highlight w:val="none"/>
        </w:rPr>
        <w:t>双方人员禁止赠送、贿赂、索要行为的发生，如遇一方发生，另一方当事人应当报告单位领导和当地纪检、监察、检察机关，对不主动报告情况的有关人员，一经查处视情节轻重给予党纪、政纪直至法律处分。</w:t>
      </w:r>
    </w:p>
    <w:p w14:paraId="395138A5">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rPr>
        <w:t>、此协议与工程承包协议同时签定，</w:t>
      </w:r>
      <w:r>
        <w:rPr>
          <w:rFonts w:hint="eastAsia" w:ascii="仿宋" w:hAnsi="仿宋" w:eastAsia="仿宋" w:cs="仿宋"/>
          <w:bCs/>
          <w:color w:val="auto"/>
          <w:kern w:val="0"/>
          <w:sz w:val="24"/>
          <w:highlight w:val="none"/>
          <w:lang w:bidi="ar"/>
        </w:rPr>
        <w:t>甲方执</w:t>
      </w:r>
      <w:r>
        <w:rPr>
          <w:rFonts w:hint="eastAsia" w:ascii="仿宋" w:hAnsi="仿宋" w:eastAsia="仿宋" w:cs="仿宋"/>
          <w:bCs/>
          <w:color w:val="auto"/>
          <w:kern w:val="0"/>
          <w:sz w:val="24"/>
          <w:highlight w:val="none"/>
          <w:lang w:eastAsia="zh-CN" w:bidi="ar"/>
        </w:rPr>
        <w:t>肆</w:t>
      </w:r>
      <w:r>
        <w:rPr>
          <w:rFonts w:hint="eastAsia" w:ascii="仿宋" w:hAnsi="仿宋" w:eastAsia="仿宋" w:cs="仿宋"/>
          <w:bCs/>
          <w:color w:val="auto"/>
          <w:kern w:val="0"/>
          <w:sz w:val="24"/>
          <w:highlight w:val="none"/>
          <w:lang w:bidi="ar"/>
        </w:rPr>
        <w:t>份，乙方执</w:t>
      </w:r>
      <w:r>
        <w:rPr>
          <w:rFonts w:hint="eastAsia" w:ascii="仿宋" w:hAnsi="仿宋" w:eastAsia="仿宋" w:cs="仿宋"/>
          <w:bCs/>
          <w:color w:val="auto"/>
          <w:kern w:val="0"/>
          <w:sz w:val="24"/>
          <w:highlight w:val="none"/>
          <w:lang w:eastAsia="zh-CN" w:bidi="ar"/>
        </w:rPr>
        <w:t>壹</w:t>
      </w:r>
      <w:r>
        <w:rPr>
          <w:rFonts w:hint="eastAsia" w:ascii="仿宋" w:hAnsi="仿宋" w:eastAsia="仿宋" w:cs="仿宋"/>
          <w:bCs/>
          <w:color w:val="auto"/>
          <w:kern w:val="0"/>
          <w:sz w:val="24"/>
          <w:highlight w:val="none"/>
          <w:lang w:bidi="ar"/>
        </w:rPr>
        <w:t>份，均具同等效力，</w:t>
      </w:r>
      <w:r>
        <w:rPr>
          <w:rFonts w:hint="eastAsia" w:ascii="仿宋" w:hAnsi="仿宋" w:eastAsia="仿宋" w:cs="仿宋"/>
          <w:color w:val="auto"/>
          <w:sz w:val="24"/>
          <w:highlight w:val="none"/>
        </w:rPr>
        <w:t>以便监督。</w:t>
      </w:r>
    </w:p>
    <w:p w14:paraId="6D466E92">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六、此协议自双方</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之日生效。</w:t>
      </w:r>
    </w:p>
    <w:p w14:paraId="18F294D1">
      <w:pPr>
        <w:snapToGrid w:val="0"/>
        <w:spacing w:line="360" w:lineRule="auto"/>
        <w:rPr>
          <w:rFonts w:hint="eastAsia" w:ascii="仿宋" w:hAnsi="仿宋" w:eastAsia="仿宋" w:cs="仿宋"/>
          <w:color w:val="auto"/>
          <w:sz w:val="24"/>
          <w:highlight w:val="none"/>
        </w:rPr>
      </w:pPr>
    </w:p>
    <w:p w14:paraId="62BD8554">
      <w:pPr>
        <w:snapToGrid w:val="0"/>
        <w:spacing w:line="480" w:lineRule="auto"/>
        <w:ind w:firstLine="48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 xml:space="preserve">             　　　       乙方：</w:t>
      </w:r>
      <w:r>
        <w:rPr>
          <w:rFonts w:hint="eastAsia" w:ascii="仿宋" w:hAnsi="仿宋" w:eastAsia="仿宋" w:cs="仿宋"/>
          <w:color w:val="auto"/>
          <w:sz w:val="24"/>
          <w:highlight w:val="none"/>
          <w:lang w:eastAsia="zh-CN"/>
        </w:rPr>
        <w:t>（盖章）</w:t>
      </w:r>
    </w:p>
    <w:p w14:paraId="537273E3">
      <w:pPr>
        <w:snapToGrid w:val="0"/>
        <w:spacing w:line="48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w:t>
      </w:r>
      <w:r>
        <w:rPr>
          <w:rFonts w:hint="eastAsia" w:ascii="仿宋" w:hAnsi="仿宋" w:eastAsia="仿宋" w:cs="仿宋"/>
          <w:color w:val="auto"/>
          <w:sz w:val="24"/>
          <w:highlight w:val="none"/>
          <w:lang w:val="en-US" w:eastAsia="zh-CN"/>
        </w:rPr>
        <w:t>/章</w:t>
      </w:r>
      <w:r>
        <w:rPr>
          <w:rFonts w:hint="eastAsia" w:ascii="仿宋" w:hAnsi="仿宋" w:eastAsia="仿宋" w:cs="仿宋"/>
          <w:color w:val="auto"/>
          <w:sz w:val="24"/>
          <w:highlight w:val="none"/>
        </w:rPr>
        <w:t>）：　　　　　　       法定代表人（签</w:t>
      </w:r>
      <w:r>
        <w:rPr>
          <w:rFonts w:hint="eastAsia" w:ascii="仿宋" w:hAnsi="仿宋" w:eastAsia="仿宋" w:cs="仿宋"/>
          <w:color w:val="auto"/>
          <w:sz w:val="24"/>
          <w:highlight w:val="none"/>
          <w:lang w:val="en-US" w:eastAsia="zh-CN"/>
        </w:rPr>
        <w:t>/章</w:t>
      </w:r>
      <w:r>
        <w:rPr>
          <w:rFonts w:hint="eastAsia" w:ascii="仿宋" w:hAnsi="仿宋" w:eastAsia="仿宋" w:cs="仿宋"/>
          <w:color w:val="auto"/>
          <w:sz w:val="24"/>
          <w:highlight w:val="none"/>
        </w:rPr>
        <w:t>）：</w:t>
      </w:r>
    </w:p>
    <w:p w14:paraId="2800A6E6">
      <w:pPr>
        <w:snapToGrid w:val="0"/>
        <w:spacing w:line="48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或</w:t>
      </w:r>
      <w:r>
        <w:rPr>
          <w:rFonts w:hint="eastAsia" w:ascii="仿宋" w:hAnsi="仿宋" w:eastAsia="仿宋" w:cs="仿宋"/>
          <w:color w:val="auto"/>
          <w:sz w:val="24"/>
          <w:highlight w:val="none"/>
        </w:rPr>
        <w:t>授权委托人（签</w:t>
      </w:r>
      <w:r>
        <w:rPr>
          <w:rFonts w:hint="eastAsia" w:ascii="仿宋" w:hAnsi="仿宋" w:eastAsia="仿宋" w:cs="仿宋"/>
          <w:color w:val="auto"/>
          <w:sz w:val="24"/>
          <w:highlight w:val="none"/>
          <w:lang w:val="en-US" w:eastAsia="zh-CN"/>
        </w:rPr>
        <w:t>/章</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eastAsia="zh-CN"/>
        </w:rPr>
        <w:t>或</w:t>
      </w:r>
      <w:r>
        <w:rPr>
          <w:rFonts w:hint="eastAsia" w:ascii="仿宋" w:hAnsi="仿宋" w:eastAsia="仿宋" w:cs="仿宋"/>
          <w:color w:val="auto"/>
          <w:sz w:val="24"/>
          <w:highlight w:val="none"/>
        </w:rPr>
        <w:t>授权委托人（签</w:t>
      </w:r>
      <w:r>
        <w:rPr>
          <w:rFonts w:hint="eastAsia" w:ascii="仿宋" w:hAnsi="仿宋" w:eastAsia="仿宋" w:cs="仿宋"/>
          <w:color w:val="auto"/>
          <w:sz w:val="24"/>
          <w:highlight w:val="none"/>
          <w:lang w:val="en-US" w:eastAsia="zh-CN"/>
        </w:rPr>
        <w:t>/章</w:t>
      </w:r>
      <w:r>
        <w:rPr>
          <w:rFonts w:hint="eastAsia" w:ascii="仿宋" w:hAnsi="仿宋" w:eastAsia="仿宋" w:cs="仿宋"/>
          <w:color w:val="auto"/>
          <w:sz w:val="24"/>
          <w:highlight w:val="none"/>
        </w:rPr>
        <w:t>）：</w:t>
      </w:r>
    </w:p>
    <w:p w14:paraId="310A6458">
      <w:pPr>
        <w:pStyle w:val="2"/>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 xml:space="preserve">     年  月  日</w:t>
      </w:r>
      <w:r>
        <w:rPr>
          <w:rFonts w:hint="eastAsia" w:ascii="仿宋" w:hAnsi="仿宋" w:eastAsia="仿宋" w:cs="仿宋"/>
          <w:color w:val="auto"/>
          <w:sz w:val="24"/>
          <w:highlight w:val="none"/>
        </w:rPr>
        <w:t>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w:t>
      </w:r>
      <w:r>
        <w:rPr>
          <w:rFonts w:hint="eastAsia" w:ascii="仿宋" w:hAnsi="仿宋" w:eastAsia="仿宋" w:cs="仿宋"/>
          <w:color w:val="auto"/>
          <w:sz w:val="24"/>
          <w:highlight w:val="none"/>
          <w:lang w:val="en-US" w:eastAsia="zh-CN"/>
        </w:rPr>
        <w:t xml:space="preserve">            年  月  日</w:t>
      </w:r>
    </w:p>
    <w:p w14:paraId="32C2DF03">
      <w:pPr>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br w:type="textWrapping"/>
      </w:r>
    </w:p>
    <w:p w14:paraId="59C2B873">
      <w:pPr>
        <w:jc w:val="left"/>
        <w:rPr>
          <w:rFonts w:hint="eastAsia" w:ascii="仿宋" w:hAnsi="仿宋" w:eastAsia="仿宋" w:cs="仿宋"/>
          <w:b/>
          <w:bCs/>
          <w:sz w:val="28"/>
          <w:szCs w:val="28"/>
          <w:highlight w:val="none"/>
        </w:rPr>
      </w:pPr>
    </w:p>
    <w:p w14:paraId="59A80F04">
      <w:pPr>
        <w:jc w:val="left"/>
        <w:rPr>
          <w:rFonts w:hint="eastAsia" w:ascii="仿宋" w:hAnsi="仿宋" w:eastAsia="仿宋" w:cs="仿宋"/>
          <w:b/>
          <w:bCs/>
          <w:sz w:val="28"/>
          <w:szCs w:val="28"/>
          <w:highlight w:val="none"/>
        </w:rPr>
      </w:pPr>
    </w:p>
    <w:p w14:paraId="2F2E1D0D">
      <w:pPr>
        <w:jc w:val="left"/>
        <w:rPr>
          <w:rFonts w:hint="eastAsia" w:ascii="仿宋" w:hAnsi="仿宋" w:eastAsia="仿宋" w:cs="仿宋"/>
          <w:b/>
          <w:bCs/>
          <w:sz w:val="28"/>
          <w:szCs w:val="28"/>
          <w:highlight w:val="none"/>
        </w:rPr>
      </w:pPr>
    </w:p>
    <w:p w14:paraId="43F40C79">
      <w:pPr>
        <w:jc w:val="left"/>
        <w:rPr>
          <w:rFonts w:hint="eastAsia" w:ascii="仿宋" w:hAnsi="仿宋" w:eastAsia="仿宋" w:cs="仿宋"/>
          <w:b/>
          <w:bCs/>
          <w:sz w:val="28"/>
          <w:szCs w:val="28"/>
          <w:highlight w:val="none"/>
        </w:rPr>
      </w:pPr>
    </w:p>
    <w:p w14:paraId="3832D5ED">
      <w:pPr>
        <w:jc w:val="left"/>
        <w:rPr>
          <w:rFonts w:hint="eastAsia" w:ascii="仿宋" w:hAnsi="仿宋" w:eastAsia="仿宋" w:cs="仿宋"/>
          <w:sz w:val="24"/>
          <w:highlight w:val="none"/>
          <w:lang w:eastAsia="zh-CN"/>
        </w:rPr>
      </w:pPr>
      <w:r>
        <w:rPr>
          <w:rFonts w:hint="eastAsia" w:ascii="仿宋" w:hAnsi="仿宋" w:eastAsia="仿宋" w:cs="仿宋"/>
          <w:b/>
          <w:bCs/>
          <w:sz w:val="28"/>
          <w:szCs w:val="28"/>
          <w:highlight w:val="none"/>
        </w:rPr>
        <w:t>附件三</w:t>
      </w:r>
      <w:r>
        <w:rPr>
          <w:rFonts w:hint="eastAsia" w:ascii="仿宋" w:hAnsi="仿宋" w:eastAsia="仿宋" w:cs="仿宋"/>
          <w:b/>
          <w:bCs/>
          <w:sz w:val="28"/>
          <w:szCs w:val="28"/>
          <w:highlight w:val="none"/>
          <w:lang w:eastAsia="zh-CN"/>
        </w:rPr>
        <w:t>：</w:t>
      </w:r>
    </w:p>
    <w:tbl>
      <w:tblPr>
        <w:tblStyle w:val="4"/>
        <w:tblW w:w="9840" w:type="dxa"/>
        <w:jc w:val="center"/>
        <w:tblLayout w:type="autofit"/>
        <w:tblCellMar>
          <w:top w:w="0" w:type="dxa"/>
          <w:left w:w="108" w:type="dxa"/>
          <w:bottom w:w="0" w:type="dxa"/>
          <w:right w:w="108" w:type="dxa"/>
        </w:tblCellMar>
      </w:tblPr>
      <w:tblGrid>
        <w:gridCol w:w="755"/>
        <w:gridCol w:w="1262"/>
        <w:gridCol w:w="1262"/>
        <w:gridCol w:w="1262"/>
        <w:gridCol w:w="755"/>
        <w:gridCol w:w="755"/>
        <w:gridCol w:w="1516"/>
        <w:gridCol w:w="1516"/>
        <w:gridCol w:w="757"/>
      </w:tblGrid>
      <w:tr w14:paraId="15664A6D">
        <w:tblPrEx>
          <w:tblCellMar>
            <w:top w:w="0" w:type="dxa"/>
            <w:left w:w="108" w:type="dxa"/>
            <w:bottom w:w="0" w:type="dxa"/>
            <w:right w:w="108" w:type="dxa"/>
          </w:tblCellMar>
        </w:tblPrEx>
        <w:trPr>
          <w:trHeight w:val="640" w:hRule="atLeast"/>
          <w:jc w:val="center"/>
        </w:trPr>
        <w:tc>
          <w:tcPr>
            <w:tcW w:w="9840" w:type="dxa"/>
            <w:gridSpan w:val="9"/>
            <w:tcBorders>
              <w:top w:val="nil"/>
              <w:left w:val="nil"/>
              <w:bottom w:val="nil"/>
              <w:right w:val="nil"/>
            </w:tcBorders>
            <w:noWrap/>
            <w:vAlign w:val="center"/>
          </w:tcPr>
          <w:p w14:paraId="403DE8BD">
            <w:pPr>
              <w:widowControl/>
              <w:jc w:val="center"/>
              <w:textAlignment w:val="center"/>
              <w:rPr>
                <w:rFonts w:hint="eastAsia" w:ascii="仿宋" w:hAnsi="仿宋" w:eastAsia="仿宋" w:cs="仿宋"/>
                <w:b/>
                <w:bCs/>
                <w:kern w:val="0"/>
                <w:sz w:val="32"/>
                <w:szCs w:val="32"/>
                <w:highlight w:val="none"/>
                <w:lang w:bidi="ar"/>
              </w:rPr>
            </w:pPr>
            <w:r>
              <w:rPr>
                <w:rFonts w:hint="eastAsia" w:ascii="仿宋" w:hAnsi="仿宋" w:eastAsia="仿宋" w:cs="仿宋"/>
                <w:b/>
                <w:bCs/>
                <w:kern w:val="0"/>
                <w:sz w:val="32"/>
                <w:szCs w:val="32"/>
                <w:highlight w:val="none"/>
                <w:lang w:bidi="ar"/>
              </w:rPr>
              <w:t>材料/工程材料结算单</w:t>
            </w:r>
          </w:p>
          <w:p w14:paraId="740C1ECE">
            <w:pPr>
              <w:pStyle w:val="2"/>
              <w:rPr>
                <w:rFonts w:hint="eastAsia" w:ascii="仿宋" w:hAnsi="仿宋" w:eastAsia="仿宋" w:cs="仿宋"/>
                <w:highlight w:val="none"/>
                <w:lang w:bidi="ar"/>
              </w:rPr>
            </w:pPr>
          </w:p>
        </w:tc>
      </w:tr>
      <w:tr w14:paraId="25113A5C">
        <w:tblPrEx>
          <w:tblCellMar>
            <w:top w:w="0" w:type="dxa"/>
            <w:left w:w="108" w:type="dxa"/>
            <w:bottom w:w="0" w:type="dxa"/>
            <w:right w:w="108" w:type="dxa"/>
          </w:tblCellMar>
        </w:tblPrEx>
        <w:trPr>
          <w:trHeight w:val="500" w:hRule="atLeast"/>
          <w:jc w:val="center"/>
        </w:trPr>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152D341E">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项目名称：</w:t>
            </w:r>
          </w:p>
        </w:tc>
      </w:tr>
      <w:tr w14:paraId="4EB5A841">
        <w:tblPrEx>
          <w:tblCellMar>
            <w:top w:w="0" w:type="dxa"/>
            <w:left w:w="108" w:type="dxa"/>
            <w:bottom w:w="0" w:type="dxa"/>
            <w:right w:w="108" w:type="dxa"/>
          </w:tblCellMar>
        </w:tblPrEx>
        <w:trPr>
          <w:trHeight w:val="500" w:hRule="atLeast"/>
          <w:jc w:val="center"/>
        </w:trPr>
        <w:tc>
          <w:tcPr>
            <w:tcW w:w="0" w:type="auto"/>
            <w:gridSpan w:val="6"/>
            <w:tcBorders>
              <w:top w:val="single" w:color="000000" w:sz="4" w:space="0"/>
              <w:left w:val="single" w:color="000000" w:sz="4" w:space="0"/>
              <w:bottom w:val="single" w:color="000000" w:sz="4" w:space="0"/>
              <w:right w:val="single" w:color="000000" w:sz="4" w:space="0"/>
            </w:tcBorders>
            <w:noWrap/>
            <w:vAlign w:val="center"/>
          </w:tcPr>
          <w:p w14:paraId="738DFD16">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合同名称：</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337B833">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合同编号：</w:t>
            </w:r>
          </w:p>
        </w:tc>
      </w:tr>
      <w:tr w14:paraId="4ACDB914">
        <w:tblPrEx>
          <w:tblCellMar>
            <w:top w:w="0" w:type="dxa"/>
            <w:left w:w="108" w:type="dxa"/>
            <w:bottom w:w="0" w:type="dxa"/>
            <w:right w:w="108" w:type="dxa"/>
          </w:tblCellMar>
        </w:tblPrEx>
        <w:trPr>
          <w:trHeight w:val="500" w:hRule="atLeast"/>
          <w:jc w:val="center"/>
        </w:trPr>
        <w:tc>
          <w:tcPr>
            <w:tcW w:w="0" w:type="auto"/>
            <w:gridSpan w:val="6"/>
            <w:tcBorders>
              <w:top w:val="single" w:color="000000" w:sz="4" w:space="0"/>
              <w:left w:val="single" w:color="000000" w:sz="4" w:space="0"/>
              <w:bottom w:val="single" w:color="000000" w:sz="4" w:space="0"/>
              <w:right w:val="single" w:color="000000" w:sz="4" w:space="0"/>
            </w:tcBorders>
            <w:noWrap/>
            <w:vAlign w:val="center"/>
          </w:tcPr>
          <w:p w14:paraId="637E6189">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供货单位：</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178C7E3">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合同金额：</w:t>
            </w:r>
          </w:p>
        </w:tc>
      </w:tr>
      <w:tr w14:paraId="17B64883">
        <w:tblPrEx>
          <w:tblCellMar>
            <w:top w:w="0" w:type="dxa"/>
            <w:left w:w="108" w:type="dxa"/>
            <w:bottom w:w="0" w:type="dxa"/>
            <w:right w:w="108" w:type="dxa"/>
          </w:tblCellMar>
        </w:tblPrEx>
        <w:trPr>
          <w:trHeight w:val="500" w:hRule="atLeast"/>
          <w:jc w:val="center"/>
        </w:trPr>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29685F20">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原始单据张数：</w:t>
            </w:r>
          </w:p>
        </w:tc>
      </w:tr>
      <w:tr w14:paraId="0F8AAF00">
        <w:tblPrEx>
          <w:tblCellMar>
            <w:top w:w="0" w:type="dxa"/>
            <w:left w:w="108" w:type="dxa"/>
            <w:bottom w:w="0" w:type="dxa"/>
            <w:right w:w="108" w:type="dxa"/>
          </w:tblCellMar>
        </w:tblPrEx>
        <w:trPr>
          <w:trHeight w:val="500" w:hRule="atLeast"/>
          <w:jc w:val="center"/>
        </w:trPr>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7AEB2146">
            <w:pPr>
              <w:widowControl/>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工程材料结算明细</w:t>
            </w:r>
          </w:p>
        </w:tc>
      </w:tr>
      <w:tr w14:paraId="27EFFE8E">
        <w:tblPrEx>
          <w:tblCellMar>
            <w:top w:w="0" w:type="dxa"/>
            <w:left w:w="108" w:type="dxa"/>
            <w:bottom w:w="0" w:type="dxa"/>
            <w:right w:w="108" w:type="dxa"/>
          </w:tblCellMar>
        </w:tblPrEx>
        <w:trPr>
          <w:trHeight w:val="50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3A599E7">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D98B5">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材料名称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BC0D9B">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采购规格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044C91">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到货规格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56C797">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单位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08CDB9">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D6A776">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单价（元）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F50CBA">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合价（元）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0138B1">
            <w:pPr>
              <w:widowControl/>
              <w:jc w:val="center"/>
              <w:textAlignment w:val="center"/>
              <w:rPr>
                <w:rFonts w:hint="eastAsia" w:ascii="仿宋" w:hAnsi="仿宋" w:eastAsia="仿宋" w:cs="仿宋"/>
                <w:b/>
                <w:bCs/>
                <w:sz w:val="22"/>
                <w:szCs w:val="22"/>
                <w:highlight w:val="none"/>
              </w:rPr>
            </w:pPr>
            <w:r>
              <w:rPr>
                <w:rFonts w:hint="eastAsia" w:ascii="仿宋" w:hAnsi="仿宋" w:eastAsia="仿宋" w:cs="仿宋"/>
                <w:b/>
                <w:bCs/>
                <w:kern w:val="0"/>
                <w:sz w:val="22"/>
                <w:szCs w:val="22"/>
                <w:highlight w:val="none"/>
                <w:lang w:bidi="ar"/>
              </w:rPr>
              <w:t>备注</w:t>
            </w:r>
          </w:p>
        </w:tc>
      </w:tr>
      <w:tr w14:paraId="5014FF04">
        <w:tblPrEx>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D369354">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CDB5F9">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D98503">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F1741F">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1EE4E8">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2A1D53">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C4422B">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B99E2C">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06C1CD">
            <w:pPr>
              <w:jc w:val="center"/>
              <w:rPr>
                <w:rFonts w:hint="eastAsia" w:ascii="仿宋" w:hAnsi="仿宋" w:eastAsia="仿宋" w:cs="仿宋"/>
                <w:b/>
                <w:bCs/>
                <w:sz w:val="24"/>
                <w:highlight w:val="none"/>
              </w:rPr>
            </w:pPr>
          </w:p>
        </w:tc>
      </w:tr>
      <w:tr w14:paraId="1C2AC742">
        <w:tblPrEx>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BF3053E">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7342D6">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8C8EAC">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942BD6">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10D9C8">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9A0A3A">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AE71FA">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587D69">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B45D01">
            <w:pPr>
              <w:jc w:val="center"/>
              <w:rPr>
                <w:rFonts w:hint="eastAsia" w:ascii="仿宋" w:hAnsi="仿宋" w:eastAsia="仿宋" w:cs="仿宋"/>
                <w:b/>
                <w:bCs/>
                <w:sz w:val="24"/>
                <w:highlight w:val="none"/>
              </w:rPr>
            </w:pPr>
          </w:p>
        </w:tc>
      </w:tr>
      <w:tr w14:paraId="026AF533">
        <w:tblPrEx>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2B7CF9E">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70C64D">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037A51">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ED13A9">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1DD8C9">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F74FE2">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8DE4B0">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01895B">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F9AD33">
            <w:pPr>
              <w:jc w:val="center"/>
              <w:rPr>
                <w:rFonts w:hint="eastAsia" w:ascii="仿宋" w:hAnsi="仿宋" w:eastAsia="仿宋" w:cs="仿宋"/>
                <w:b/>
                <w:bCs/>
                <w:sz w:val="24"/>
                <w:highlight w:val="none"/>
              </w:rPr>
            </w:pPr>
          </w:p>
        </w:tc>
      </w:tr>
      <w:tr w14:paraId="456871DC">
        <w:tblPrEx>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BC88BBB">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67D96E">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FD1811">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5B209E">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87372B">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094868">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418A22">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C3C469">
            <w:pPr>
              <w:jc w:val="center"/>
              <w:rPr>
                <w:rFonts w:hint="eastAsia" w:ascii="仿宋" w:hAnsi="仿宋" w:eastAsia="仿宋" w:cs="仿宋"/>
                <w:b/>
                <w:bCs/>
                <w:sz w:val="24"/>
                <w:highlight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890EFD">
            <w:pPr>
              <w:jc w:val="center"/>
              <w:rPr>
                <w:rFonts w:hint="eastAsia" w:ascii="仿宋" w:hAnsi="仿宋" w:eastAsia="仿宋" w:cs="仿宋"/>
                <w:b/>
                <w:bCs/>
                <w:sz w:val="24"/>
                <w:highlight w:val="none"/>
              </w:rPr>
            </w:pPr>
          </w:p>
        </w:tc>
      </w:tr>
      <w:tr w14:paraId="26A7BA52">
        <w:tblPrEx>
          <w:tblCellMar>
            <w:top w:w="0" w:type="dxa"/>
            <w:left w:w="108" w:type="dxa"/>
            <w:bottom w:w="0" w:type="dxa"/>
            <w:right w:w="108" w:type="dxa"/>
          </w:tblCellMar>
        </w:tblPrEx>
        <w:trPr>
          <w:trHeight w:val="500" w:hRule="atLeast"/>
          <w:jc w:val="center"/>
        </w:trPr>
        <w:tc>
          <w:tcPr>
            <w:tcW w:w="0" w:type="auto"/>
            <w:gridSpan w:val="6"/>
            <w:tcBorders>
              <w:top w:val="single" w:color="000000" w:sz="4" w:space="0"/>
              <w:left w:val="single" w:color="000000" w:sz="4" w:space="0"/>
              <w:bottom w:val="single" w:color="000000" w:sz="4" w:space="0"/>
              <w:right w:val="single" w:color="000000" w:sz="4" w:space="0"/>
            </w:tcBorders>
            <w:noWrap/>
            <w:vAlign w:val="center"/>
          </w:tcPr>
          <w:p w14:paraId="0AA6D33D">
            <w:pPr>
              <w:widowControl/>
              <w:jc w:val="lef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合计：                                 （大写）</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C81680D">
            <w:pPr>
              <w:widowControl/>
              <w:jc w:val="right"/>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（小写）</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58B24F">
            <w:pPr>
              <w:rPr>
                <w:rFonts w:hint="eastAsia" w:ascii="仿宋" w:hAnsi="仿宋" w:eastAsia="仿宋" w:cs="仿宋"/>
                <w:b/>
                <w:bCs/>
                <w:sz w:val="24"/>
                <w:highlight w:val="none"/>
              </w:rPr>
            </w:pPr>
          </w:p>
        </w:tc>
      </w:tr>
      <w:tr w14:paraId="0A5C7CD0">
        <w:tblPrEx>
          <w:tblCellMar>
            <w:top w:w="0" w:type="dxa"/>
            <w:left w:w="108" w:type="dxa"/>
            <w:bottom w:w="0" w:type="dxa"/>
            <w:right w:w="108" w:type="dxa"/>
          </w:tblCellMar>
        </w:tblPrEx>
        <w:trPr>
          <w:trHeight w:val="700" w:hRule="atLeast"/>
          <w:jc w:val="center"/>
        </w:trPr>
        <w:tc>
          <w:tcPr>
            <w:tcW w:w="2017" w:type="dxa"/>
            <w:gridSpan w:val="2"/>
            <w:tcBorders>
              <w:top w:val="single" w:color="000000" w:sz="4" w:space="0"/>
              <w:left w:val="single" w:color="000000" w:sz="4" w:space="0"/>
              <w:bottom w:val="single" w:color="000000" w:sz="4" w:space="0"/>
              <w:right w:val="single" w:color="000000" w:sz="4" w:space="0"/>
            </w:tcBorders>
            <w:noWrap w:val="0"/>
            <w:vAlign w:val="center"/>
          </w:tcPr>
          <w:p w14:paraId="69913BAC">
            <w:pPr>
              <w:widowControl/>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扣款金额（元）</w:t>
            </w:r>
          </w:p>
        </w:tc>
        <w:tc>
          <w:tcPr>
            <w:tcW w:w="7823" w:type="dxa"/>
            <w:gridSpan w:val="7"/>
            <w:tcBorders>
              <w:top w:val="single" w:color="000000" w:sz="4" w:space="0"/>
              <w:left w:val="single" w:color="000000" w:sz="4" w:space="0"/>
              <w:bottom w:val="single" w:color="000000" w:sz="4" w:space="0"/>
              <w:right w:val="single" w:color="000000" w:sz="4" w:space="0"/>
            </w:tcBorders>
            <w:noWrap w:val="0"/>
            <w:vAlign w:val="center"/>
          </w:tcPr>
          <w:p w14:paraId="7A8DB5FD">
            <w:pPr>
              <w:rPr>
                <w:rFonts w:hint="eastAsia" w:ascii="仿宋" w:hAnsi="仿宋" w:eastAsia="仿宋" w:cs="仿宋"/>
                <w:b/>
                <w:bCs/>
                <w:sz w:val="24"/>
                <w:highlight w:val="none"/>
              </w:rPr>
            </w:pPr>
          </w:p>
        </w:tc>
      </w:tr>
      <w:tr w14:paraId="456B83C8">
        <w:tblPrEx>
          <w:tblCellMar>
            <w:top w:w="0" w:type="dxa"/>
            <w:left w:w="108" w:type="dxa"/>
            <w:bottom w:w="0" w:type="dxa"/>
            <w:right w:w="108" w:type="dxa"/>
          </w:tblCellMar>
        </w:tblPrEx>
        <w:trPr>
          <w:trHeight w:val="520" w:hRule="atLeast"/>
          <w:jc w:val="center"/>
        </w:trPr>
        <w:tc>
          <w:tcPr>
            <w:tcW w:w="2017" w:type="dxa"/>
            <w:gridSpan w:val="2"/>
            <w:tcBorders>
              <w:top w:val="single" w:color="000000" w:sz="4" w:space="0"/>
              <w:left w:val="single" w:color="000000" w:sz="4" w:space="0"/>
              <w:bottom w:val="single" w:color="000000" w:sz="4" w:space="0"/>
              <w:right w:val="single" w:color="000000" w:sz="4" w:space="0"/>
            </w:tcBorders>
            <w:noWrap w:val="0"/>
            <w:vAlign w:val="center"/>
          </w:tcPr>
          <w:p w14:paraId="237DDB0A">
            <w:pPr>
              <w:widowControl/>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结算金额（元）</w:t>
            </w:r>
          </w:p>
        </w:tc>
        <w:tc>
          <w:tcPr>
            <w:tcW w:w="0" w:type="auto"/>
            <w:gridSpan w:val="7"/>
            <w:tcBorders>
              <w:top w:val="single" w:color="000000" w:sz="4" w:space="0"/>
              <w:left w:val="single" w:color="000000" w:sz="4" w:space="0"/>
              <w:bottom w:val="single" w:color="000000" w:sz="4" w:space="0"/>
              <w:right w:val="single" w:color="000000" w:sz="4" w:space="0"/>
            </w:tcBorders>
            <w:noWrap/>
            <w:vAlign w:val="center"/>
          </w:tcPr>
          <w:p w14:paraId="7D77D6D2">
            <w:pPr>
              <w:rPr>
                <w:rFonts w:hint="eastAsia" w:ascii="仿宋" w:hAnsi="仿宋" w:eastAsia="仿宋" w:cs="仿宋"/>
                <w:b/>
                <w:bCs/>
                <w:sz w:val="24"/>
                <w:highlight w:val="none"/>
              </w:rPr>
            </w:pPr>
          </w:p>
        </w:tc>
      </w:tr>
      <w:tr w14:paraId="7D47BAD3">
        <w:tblPrEx>
          <w:tblCellMar>
            <w:top w:w="0" w:type="dxa"/>
            <w:left w:w="108" w:type="dxa"/>
            <w:bottom w:w="0" w:type="dxa"/>
            <w:right w:w="108" w:type="dxa"/>
          </w:tblCellMar>
        </w:tblPrEx>
        <w:trPr>
          <w:trHeight w:val="1080" w:hRule="atLeast"/>
          <w:jc w:val="center"/>
        </w:trPr>
        <w:tc>
          <w:tcPr>
            <w:tcW w:w="9840" w:type="dxa"/>
            <w:gridSpan w:val="9"/>
            <w:tcBorders>
              <w:top w:val="nil"/>
              <w:left w:val="nil"/>
              <w:bottom w:val="nil"/>
              <w:right w:val="nil"/>
            </w:tcBorders>
            <w:noWrap w:val="0"/>
            <w:vAlign w:val="center"/>
          </w:tcPr>
          <w:p w14:paraId="545E8BA4">
            <w:pPr>
              <w:widowControl/>
              <w:jc w:val="left"/>
              <w:textAlignment w:val="center"/>
              <w:rPr>
                <w:rFonts w:hint="eastAsia" w:ascii="仿宋" w:hAnsi="仿宋" w:eastAsia="仿宋" w:cs="仿宋"/>
                <w:sz w:val="20"/>
                <w:szCs w:val="20"/>
                <w:highlight w:val="none"/>
              </w:rPr>
            </w:pPr>
            <w:r>
              <w:rPr>
                <w:rFonts w:hint="eastAsia" w:ascii="仿宋" w:hAnsi="仿宋" w:eastAsia="仿宋" w:cs="仿宋"/>
                <w:kern w:val="0"/>
                <w:sz w:val="20"/>
                <w:szCs w:val="20"/>
                <w:highlight w:val="none"/>
                <w:lang w:bidi="ar"/>
              </w:rPr>
              <w:t>备注：1.所有原始单据需项目部收货人及分管工程师签字确认；</w:t>
            </w:r>
            <w:r>
              <w:rPr>
                <w:rFonts w:hint="eastAsia" w:ascii="仿宋" w:hAnsi="仿宋" w:eastAsia="仿宋" w:cs="仿宋"/>
                <w:kern w:val="0"/>
                <w:sz w:val="20"/>
                <w:szCs w:val="20"/>
                <w:highlight w:val="none"/>
                <w:lang w:bidi="ar"/>
              </w:rPr>
              <w:br w:type="textWrapping"/>
            </w:r>
            <w:r>
              <w:rPr>
                <w:rFonts w:hint="eastAsia" w:ascii="仿宋" w:hAnsi="仿宋" w:eastAsia="仿宋" w:cs="仿宋"/>
                <w:kern w:val="0"/>
                <w:sz w:val="20"/>
                <w:szCs w:val="20"/>
                <w:highlight w:val="none"/>
                <w:lang w:bidi="ar"/>
              </w:rPr>
              <w:t xml:space="preserve">     2.结算单需供货商签字盖章确认；</w:t>
            </w:r>
            <w:r>
              <w:rPr>
                <w:rFonts w:hint="eastAsia" w:ascii="仿宋" w:hAnsi="仿宋" w:eastAsia="仿宋" w:cs="仿宋"/>
                <w:kern w:val="0"/>
                <w:sz w:val="20"/>
                <w:szCs w:val="20"/>
                <w:highlight w:val="none"/>
                <w:lang w:bidi="ar"/>
              </w:rPr>
              <w:br w:type="textWrapping"/>
            </w:r>
            <w:r>
              <w:rPr>
                <w:rFonts w:hint="eastAsia" w:ascii="仿宋" w:hAnsi="仿宋" w:eastAsia="仿宋" w:cs="仿宋"/>
                <w:kern w:val="0"/>
                <w:sz w:val="20"/>
                <w:szCs w:val="20"/>
                <w:highlight w:val="none"/>
                <w:lang w:bidi="ar"/>
              </w:rPr>
              <w:t xml:space="preserve">     3.备注栏应注明不达标情况及扣款情况 。</w:t>
            </w:r>
          </w:p>
        </w:tc>
      </w:tr>
      <w:tr w14:paraId="487CC5E6">
        <w:tblPrEx>
          <w:tblCellMar>
            <w:top w:w="0" w:type="dxa"/>
            <w:left w:w="108" w:type="dxa"/>
            <w:bottom w:w="0" w:type="dxa"/>
            <w:right w:w="108" w:type="dxa"/>
          </w:tblCellMar>
        </w:tblPrEx>
        <w:trPr>
          <w:trHeight w:val="795" w:hRule="atLeast"/>
          <w:jc w:val="center"/>
        </w:trPr>
        <w:tc>
          <w:tcPr>
            <w:tcW w:w="0" w:type="auto"/>
            <w:gridSpan w:val="3"/>
            <w:tcBorders>
              <w:top w:val="nil"/>
              <w:left w:val="nil"/>
              <w:bottom w:val="nil"/>
              <w:right w:val="nil"/>
            </w:tcBorders>
            <w:noWrap/>
            <w:vAlign w:val="top"/>
          </w:tcPr>
          <w:p w14:paraId="0084A9FF">
            <w:pPr>
              <w:widowControl/>
              <w:jc w:val="left"/>
              <w:textAlignment w:val="top"/>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供应商：（盖章）</w:t>
            </w:r>
          </w:p>
        </w:tc>
        <w:tc>
          <w:tcPr>
            <w:tcW w:w="0" w:type="auto"/>
            <w:gridSpan w:val="3"/>
            <w:tcBorders>
              <w:top w:val="nil"/>
              <w:left w:val="nil"/>
              <w:bottom w:val="nil"/>
              <w:right w:val="nil"/>
            </w:tcBorders>
            <w:noWrap/>
            <w:vAlign w:val="top"/>
          </w:tcPr>
          <w:p w14:paraId="1C4881D3">
            <w:pPr>
              <w:widowControl/>
              <w:jc w:val="left"/>
              <w:textAlignment w:val="top"/>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验收人/收货人：</w:t>
            </w:r>
          </w:p>
        </w:tc>
        <w:tc>
          <w:tcPr>
            <w:tcW w:w="0" w:type="auto"/>
            <w:gridSpan w:val="3"/>
            <w:tcBorders>
              <w:top w:val="nil"/>
              <w:left w:val="nil"/>
              <w:bottom w:val="nil"/>
              <w:right w:val="nil"/>
            </w:tcBorders>
            <w:noWrap/>
            <w:vAlign w:val="top"/>
          </w:tcPr>
          <w:p w14:paraId="0040242D">
            <w:pPr>
              <w:widowControl/>
              <w:jc w:val="left"/>
              <w:textAlignment w:val="top"/>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项目负责人：</w:t>
            </w:r>
          </w:p>
        </w:tc>
      </w:tr>
      <w:tr w14:paraId="343114B8">
        <w:tblPrEx>
          <w:tblCellMar>
            <w:top w:w="0" w:type="dxa"/>
            <w:left w:w="108" w:type="dxa"/>
            <w:bottom w:w="0" w:type="dxa"/>
            <w:right w:w="108" w:type="dxa"/>
          </w:tblCellMar>
        </w:tblPrEx>
        <w:trPr>
          <w:trHeight w:val="885" w:hRule="atLeast"/>
          <w:jc w:val="center"/>
        </w:trPr>
        <w:tc>
          <w:tcPr>
            <w:tcW w:w="0" w:type="auto"/>
            <w:gridSpan w:val="3"/>
            <w:tcBorders>
              <w:top w:val="nil"/>
              <w:left w:val="nil"/>
              <w:bottom w:val="nil"/>
              <w:right w:val="nil"/>
            </w:tcBorders>
            <w:noWrap/>
            <w:vAlign w:val="top"/>
          </w:tcPr>
          <w:p w14:paraId="3FE58074">
            <w:pPr>
              <w:widowControl/>
              <w:jc w:val="left"/>
              <w:textAlignment w:val="top"/>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采购部意见：</w:t>
            </w:r>
          </w:p>
        </w:tc>
        <w:tc>
          <w:tcPr>
            <w:tcW w:w="0" w:type="auto"/>
            <w:gridSpan w:val="3"/>
            <w:tcBorders>
              <w:top w:val="nil"/>
              <w:left w:val="nil"/>
              <w:bottom w:val="nil"/>
              <w:right w:val="nil"/>
            </w:tcBorders>
            <w:noWrap/>
            <w:vAlign w:val="top"/>
          </w:tcPr>
          <w:p w14:paraId="2D7C8295">
            <w:pPr>
              <w:widowControl/>
              <w:jc w:val="left"/>
              <w:textAlignment w:val="top"/>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成控部：</w:t>
            </w:r>
          </w:p>
        </w:tc>
        <w:tc>
          <w:tcPr>
            <w:tcW w:w="0" w:type="auto"/>
            <w:gridSpan w:val="3"/>
            <w:tcBorders>
              <w:top w:val="nil"/>
              <w:left w:val="nil"/>
              <w:bottom w:val="nil"/>
              <w:right w:val="nil"/>
            </w:tcBorders>
            <w:noWrap/>
            <w:vAlign w:val="top"/>
          </w:tcPr>
          <w:p w14:paraId="2514B2A6">
            <w:pPr>
              <w:widowControl/>
              <w:jc w:val="left"/>
              <w:textAlignment w:val="top"/>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分管领导：</w:t>
            </w:r>
          </w:p>
        </w:tc>
      </w:tr>
    </w:tbl>
    <w:p w14:paraId="6926CC54">
      <w:pPr>
        <w:rPr>
          <w:rFonts w:hint="eastAsia" w:ascii="仿宋" w:hAnsi="仿宋" w:eastAsia="仿宋" w:cs="仿宋"/>
          <w:highlight w:val="none"/>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CEF25">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B28D4">
                          <w:pPr>
                            <w:pStyle w:val="3"/>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9</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EEB28D4">
                    <w:pPr>
                      <w:pStyle w:val="3"/>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9</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8A96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6069A1">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A6069A1">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44E354"/>
    <w:multiLevelType w:val="singleLevel"/>
    <w:tmpl w:val="C044E354"/>
    <w:lvl w:ilvl="0" w:tentative="0">
      <w:start w:val="6"/>
      <w:numFmt w:val="chineseCounting"/>
      <w:suff w:val="nothing"/>
      <w:lvlText w:val="%1、"/>
      <w:lvlJc w:val="left"/>
      <w:pPr>
        <w:ind w:left="56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B7388"/>
    <w:rsid w:val="02927447"/>
    <w:rsid w:val="054B711F"/>
    <w:rsid w:val="081C4DA3"/>
    <w:rsid w:val="0CE114B4"/>
    <w:rsid w:val="0D0C3638"/>
    <w:rsid w:val="0E802EB3"/>
    <w:rsid w:val="10E16B8A"/>
    <w:rsid w:val="10E548CC"/>
    <w:rsid w:val="12072620"/>
    <w:rsid w:val="166D7814"/>
    <w:rsid w:val="17045D58"/>
    <w:rsid w:val="17604CAC"/>
    <w:rsid w:val="184E2D57"/>
    <w:rsid w:val="18C9346B"/>
    <w:rsid w:val="196842EC"/>
    <w:rsid w:val="1E1660C5"/>
    <w:rsid w:val="1E42335E"/>
    <w:rsid w:val="20684B9E"/>
    <w:rsid w:val="22B41A95"/>
    <w:rsid w:val="25FD24A7"/>
    <w:rsid w:val="275B0FEC"/>
    <w:rsid w:val="292518B2"/>
    <w:rsid w:val="29610B2D"/>
    <w:rsid w:val="2AB56C65"/>
    <w:rsid w:val="2B401458"/>
    <w:rsid w:val="2B4F0E68"/>
    <w:rsid w:val="2E032EAE"/>
    <w:rsid w:val="2E1B7727"/>
    <w:rsid w:val="2F8615BA"/>
    <w:rsid w:val="312406A1"/>
    <w:rsid w:val="32636828"/>
    <w:rsid w:val="337A0A4C"/>
    <w:rsid w:val="35216984"/>
    <w:rsid w:val="35305866"/>
    <w:rsid w:val="3A543890"/>
    <w:rsid w:val="3C041233"/>
    <w:rsid w:val="3E146757"/>
    <w:rsid w:val="3E853745"/>
    <w:rsid w:val="3F1A38CA"/>
    <w:rsid w:val="3FB41133"/>
    <w:rsid w:val="416924B0"/>
    <w:rsid w:val="429F402B"/>
    <w:rsid w:val="43CB0E11"/>
    <w:rsid w:val="44C66E57"/>
    <w:rsid w:val="45F50F6E"/>
    <w:rsid w:val="464C70F8"/>
    <w:rsid w:val="4787079B"/>
    <w:rsid w:val="47DF1F58"/>
    <w:rsid w:val="49D15412"/>
    <w:rsid w:val="49E54A1A"/>
    <w:rsid w:val="4D0C49B3"/>
    <w:rsid w:val="4DE77E30"/>
    <w:rsid w:val="4F416B96"/>
    <w:rsid w:val="51DB2A78"/>
    <w:rsid w:val="51DB7388"/>
    <w:rsid w:val="52DD5765"/>
    <w:rsid w:val="557467B6"/>
    <w:rsid w:val="59575208"/>
    <w:rsid w:val="5A5F1E98"/>
    <w:rsid w:val="5AD00DCE"/>
    <w:rsid w:val="5E317DD6"/>
    <w:rsid w:val="5F683CCB"/>
    <w:rsid w:val="5F944AC0"/>
    <w:rsid w:val="5F9E593F"/>
    <w:rsid w:val="5FCB6008"/>
    <w:rsid w:val="5FF04864"/>
    <w:rsid w:val="60D801D1"/>
    <w:rsid w:val="62DA4EE0"/>
    <w:rsid w:val="64BB664B"/>
    <w:rsid w:val="6546685C"/>
    <w:rsid w:val="6659611C"/>
    <w:rsid w:val="68D423D1"/>
    <w:rsid w:val="6A464C09"/>
    <w:rsid w:val="6CA976D1"/>
    <w:rsid w:val="6F101C89"/>
    <w:rsid w:val="6F2D26D7"/>
    <w:rsid w:val="72912870"/>
    <w:rsid w:val="7377177D"/>
    <w:rsid w:val="762229CE"/>
    <w:rsid w:val="776322CA"/>
    <w:rsid w:val="77B5517C"/>
    <w:rsid w:val="788A7127"/>
    <w:rsid w:val="792415EC"/>
    <w:rsid w:val="7B3B008E"/>
    <w:rsid w:val="7B7B492E"/>
    <w:rsid w:val="7B872B63"/>
    <w:rsid w:val="7BAB0D70"/>
    <w:rsid w:val="7E3E3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5602</Words>
  <Characters>5744</Characters>
  <Lines>0</Lines>
  <Paragraphs>0</Paragraphs>
  <TotalTime>3</TotalTime>
  <ScaleCrop>false</ScaleCrop>
  <LinksUpToDate>false</LinksUpToDate>
  <CharactersWithSpaces>6509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2025-08-25T07:49:00Z</dcterms:created>
  <dc:creator>小文子</dc:creator>
  <cp:lastModifiedBy>王U欢</cp:lastModifiedBy>
  <dcterms:modified xsi:type="dcterms:W3CDTF">2026-08-25T09:23:58Z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D952661B4834402CABC702FD6CAA2053_13</vt:lpwstr>
  </property>
  <property fmtid="{D5CDD505-2E9C-101B-9397-08002B2CF9AE}" pid="4" name="KSOTemplateDocerSaveRecord">
    <vt:lpwstr>eyJoZGlkIjoiNzE4NDE0OTQ5NTQxMDNjM2U0MTJmZThkYTFhYjY4MjIiLCJ1c2VySWQiOiI1NzU1NDk3NDkifQ==</vt:lpwstr>
  </property>
</Properties>
</file>